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Current Standard Supplement</w:t>
      </w:r>
    </w:p>
    <w:p>
      <w:pPr>
        <w:spacing w:after="400"/>
      </w:pPr>
      <w:r>
        <w:rPr>
          <w:rFonts w:ascii="Inter" w:cs="Inter" w:eastAsia="Inter" w:hAnsi="Inter"/>
          <w:b w:val="false"/>
          <w:bCs w:val="false"/>
          <w:i w:val="false"/>
          <w:iCs w:val="false"/>
          <w:color w:val="595959"/>
          <w:sz w:val="24"/>
          <w:szCs w:val="24"/>
        </w:rPr>
        <w:t xml:space="preserve">Guidance for the parts of ISO/IEC 27001:2022 that ISO/IEC 27003:2017 does not reach</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 background reading</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Why this document exists</w:t>
      </w:r>
    </w:p>
    <w:p>
      <w:pPr>
        <w:spacing w:after="120" w:line="264"/>
      </w:pPr>
      <w:r>
        <w:rPr>
          <w:rFonts w:ascii="Inter" w:cs="Inter" w:eastAsia="Inter" w:hAnsi="Inter"/>
          <w:b w:val="false"/>
          <w:bCs w:val="false"/>
          <w:i w:val="false"/>
          <w:iCs w:val="false"/>
          <w:color w:val="000000"/>
          <w:sz w:val="21"/>
          <w:szCs w:val="21"/>
        </w:rPr>
        <w:t xml:space="preserve">ISO/IEC 27003 is the implementation guidance for ISO/IEC 27001. It is organised clause by clause, and for each subclause it gives a required activity, an explanation, guidance, and pointers to other information. It is the most useful thing an implementer can read alongside the standard.</w:t>
      </w:r>
    </w:p>
    <w:p>
      <w:pPr>
        <w:spacing w:after="120" w:line="264"/>
      </w:pPr>
      <w:r>
        <w:rPr>
          <w:rFonts w:ascii="Inter" w:cs="Inter" w:eastAsia="Inter" w:hAnsi="Inter"/>
          <w:b w:val="false"/>
          <w:bCs w:val="false"/>
          <w:i w:val="false"/>
          <w:iCs w:val="false"/>
          <w:color w:val="000000"/>
          <w:sz w:val="21"/>
          <w:szCs w:val="21"/>
        </w:rPr>
        <w:t xml:space="preserve">The problem is timing. The current edition of ISO/IEC 27003 is the second, published in 2017 and written against ISO/IEC 27001:2013. ISO/IEC 27001 was revised in 2022 and amended in 2024. A third edition of 27003 is in development but is not expected before 2027, so for the next few years there is no guidance standard that matches the standard being certified against.</w:t>
      </w:r>
    </w:p>
    <w:p>
      <w:pPr>
        <w:spacing w:after="120" w:line="264"/>
      </w:pPr>
      <w:r>
        <w:rPr>
          <w:rFonts w:ascii="Inter" w:cs="Inter" w:eastAsia="Inter" w:hAnsi="Inter"/>
          <w:b w:val="false"/>
          <w:bCs w:val="false"/>
          <w:i w:val="false"/>
          <w:iCs w:val="false"/>
          <w:color w:val="000000"/>
          <w:sz w:val="21"/>
          <w:szCs w:val="21"/>
        </w:rPr>
        <w:t xml:space="preserve">This supplement closes that gap. It provides guidance in the same shape 27003 uses, for the parts of ISO/IEC 27001:2022 that 27003:2017 does not reach. Where 27003 does cover something, use 27003 - this document does not duplicate it.</w:t>
      </w:r>
    </w:p>
    <w:p>
      <w:pPr>
        <w:pStyle w:val="Heading2"/>
        <w:spacing w:after="110" w:before="260"/>
      </w:pPr>
      <w:r>
        <w:rPr>
          <w:rFonts w:ascii="Inter" w:cs="Inter" w:eastAsia="Inter" w:hAnsi="Inter"/>
          <w:b/>
          <w:bCs/>
          <w:i w:val="false"/>
          <w:iCs w:val="false"/>
          <w:color w:val="595959"/>
          <w:sz w:val="24"/>
          <w:szCs w:val="24"/>
        </w:rPr>
        <w:t xml:space="preserve">1.1 Version baseline</w:t>
      </w:r>
    </w:p>
    <w:p>
      <w:pPr>
        <w:spacing w:after="120" w:line="264"/>
      </w:pPr>
      <w:r>
        <w:rPr>
          <w:rFonts w:ascii="Inter" w:cs="Inter" w:eastAsia="Inter" w:hAnsi="Inter"/>
          <w:b w:val="false"/>
          <w:bCs w:val="false"/>
          <w:i w:val="false"/>
          <w:iCs w:val="false"/>
          <w:color w:val="000000"/>
          <w:sz w:val="21"/>
          <w:szCs w:val="21"/>
        </w:rPr>
        <w:t>The kit is built against these versions. Confirm they are still current before you start; the check takes five minutes and prevents an embarrassing conversation.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264"/>
        <w:gridCol w:w="2347"/>
        <w:gridCol w:w="2708"/>
        <w:gridCol w:w="2708"/>
      </w:tblGrid>
      <w:tr>
        <w:trPr>
          <w:tblHeader/>
        </w:trPr>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Standard</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Edition used</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 in this kit</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27001</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2022, as amended by Amd 1:2024 (published 23 February 2024)</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 This is what you are certified against.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requirements. Every workbook row traces to it.</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27002</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2022</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 93 controls in four themes, with five attribute types.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Control implementation guidance. Not reproduced here - you should hold a licensed copy.</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27003</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2017</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 edition, but written against 27001:2013. Third edition in development, expected around 2027.</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Implementation guidance, used everywhere it still applies. This supplement covers where it does not.</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27004</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2016</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 No revision published.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model behind Clause 9.1 and workbook tab 18.</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27005</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2022</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management guidance behind the methodology.</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 19011</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2018</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Current.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Auditing guidance behind the internal audit templates.</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The transition deadline from ISO/IEC 27001:2013 closed on 31 October 2025, so any certificate still referencing the 2013 edition has lapsed. If a supplier shows you one, ask when they last recertified before you accept it as assurance.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Reading 27003:2017 against 27001:2022</w:t>
      </w:r>
    </w:p>
    <w:p>
      <w:pPr>
        <w:spacing w:after="120" w:line="264"/>
      </w:pPr>
      <w:r>
        <w:rPr>
          <w:rFonts w:ascii="Inter" w:cs="Inter" w:eastAsia="Inter" w:hAnsi="Inter"/>
          <w:b w:val="false"/>
          <w:bCs w:val="false"/>
          <w:i w:val="false"/>
          <w:iCs w:val="false"/>
          <w:color w:val="000000"/>
          <w:sz w:val="21"/>
          <w:szCs w:val="21"/>
        </w:rPr>
        <w:t>Most of 27003 maps across unchanged. Four things do not. Keep this table beside you whenever you use 27003.</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2708"/>
        <w:gridCol w:w="3971"/>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If 27003 says...</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Under 27001:2022...</w:t>
            </w:r>
          </w:p>
        </w:tc>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to do</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10.1 (nonconformity and corrective action)</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That material is Clause 10.2</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Read across. The substance is unchanged; only the subclause numbers were transposed.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10.2 (continual improvement)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That material is Clause 10.1</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Read across. Same as above.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7.4 lists five determinations for communication</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7.4 lists four: on what, when, with whom, how</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2022 clause dropped "who shall communicate" and "the processes by which communication shall be effected" as explicit requirements. Keep both anyway - 27003's guidance on them is good, and the Communication Plan in this kit retains them.</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Any Annex A control number</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control set was restructured: 114 controls in 14 clauses became 93 in four themes, with 11 new controls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Never carry a 27003 control reference straight across. Use the mapping in ISO/IEC 27002:2022 Annex B, and use ISO/IEC 27002:2022 rather than 27003 for control guidance.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Nothing about Clause 6.3</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6.3 Planning of changes exists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guidance exists. Use section 4 of this document.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Nothing about climate change</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4.1 and 4.2 were amended in 2024</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guidance exists. Use section 3 of this document.</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Clauses 4.1 and 4.2 - climate change</w:t>
      </w:r>
    </w:p>
    <w:p>
      <w:pPr>
        <w:spacing w:after="120" w:line="264"/>
      </w:pPr>
      <w:r>
        <w:rPr>
          <w:rFonts w:ascii="Inter" w:cs="Inter" w:eastAsia="Inter" w:hAnsi="Inter"/>
          <w:b w:val="false"/>
          <w:bCs w:val="false"/>
          <w:i w:val="false"/>
          <w:iCs w:val="false"/>
          <w:color w:val="000000"/>
          <w:sz w:val="21"/>
          <w:szCs w:val="21"/>
        </w:rPr>
        <w:t>Added by ISO/IEC 27001:2022/Amd 1:2024, published 23 February 2024. The amendment adds a requirement to Clause 4.1 that the organisation determine whether climate change is a relevant issue, and a note to Clause 4.2 that relevant interested parties can have requirements related to climate change. The same change was made across the ISO management system standards, so an organisation certified to ISO 9001 or 14001 has probably met it already.</w:t>
      </w:r>
    </w:p>
    <w:p>
      <w:pPr>
        <w:pStyle w:val="Heading2"/>
        <w:spacing w:after="110" w:before="260"/>
      </w:pPr>
      <w:r>
        <w:rPr>
          <w:rFonts w:ascii="Inter" w:cs="Inter" w:eastAsia="Inter" w:hAnsi="Inter"/>
          <w:b/>
          <w:bCs/>
          <w:i w:val="false"/>
          <w:iCs w:val="false"/>
          <w:color w:val="595959"/>
          <w:sz w:val="24"/>
          <w:szCs w:val="24"/>
        </w:rPr>
        <w:t xml:space="preserve">Required activity</w:t>
      </w:r>
    </w:p>
    <w:p>
      <w:pPr>
        <w:spacing w:after="120" w:line="264"/>
      </w:pPr>
      <w:r>
        <w:rPr>
          <w:rFonts w:ascii="Inter" w:cs="Inter" w:eastAsia="Inter" w:hAnsi="Inter"/>
          <w:b w:val="false"/>
          <w:bCs w:val="false"/>
          <w:i w:val="false"/>
          <w:iCs w:val="false"/>
          <w:color w:val="000000"/>
          <w:sz w:val="21"/>
          <w:szCs w:val="21"/>
        </w:rPr>
        <w:t xml:space="preserve">The organisation determines whether climate change is a relevant issue for its ISMS, and considers whether interested parties have requirements relating to it.</w:t>
      </w:r>
    </w:p>
    <w:p>
      <w:pPr>
        <w:pStyle w:val="Heading2"/>
        <w:spacing w:after="110" w:before="260"/>
      </w:pPr>
      <w:r>
        <w:rPr>
          <w:rFonts w:ascii="Inter" w:cs="Inter" w:eastAsia="Inter" w:hAnsi="Inter"/>
          <w:b/>
          <w:bCs/>
          <w:i w:val="false"/>
          <w:iCs w:val="false"/>
          <w:color w:val="595959"/>
          <w:sz w:val="24"/>
          <w:szCs w:val="24"/>
        </w:rPr>
        <w:t xml:space="preserve">Explanation</w:t>
      </w:r>
    </w:p>
    <w:p>
      <w:pPr>
        <w:spacing w:after="120" w:line="264"/>
      </w:pPr>
      <w:r>
        <w:rPr>
          <w:rFonts w:ascii="Inter" w:cs="Inter" w:eastAsia="Inter" w:hAnsi="Inter"/>
          <w:b w:val="false"/>
          <w:bCs w:val="false"/>
          <w:i w:val="false"/>
          <w:iCs w:val="false"/>
          <w:color w:val="000000"/>
          <w:sz w:val="21"/>
          <w:szCs w:val="21"/>
        </w:rPr>
        <w:t xml:space="preserve">This is a determination requirement, not a performance requirement. The standard does not ask the organisation to reduce emissions or to have a climate strategy. It asks the organisation to think about whether climate change bears on its ability to achieve the intended outcomes of its ISMS, and to record the conclusion.</w:t>
      </w:r>
    </w:p>
    <w:p>
      <w:pPr>
        <w:spacing w:after="120" w:line="264"/>
      </w:pPr>
      <w:r>
        <w:rPr>
          <w:rFonts w:ascii="Inter" w:cs="Inter" w:eastAsia="Inter" w:hAnsi="Inter"/>
          <w:b w:val="false"/>
          <w:bCs w:val="false"/>
          <w:i w:val="false"/>
          <w:iCs w:val="false"/>
          <w:color w:val="000000"/>
          <w:sz w:val="21"/>
          <w:szCs w:val="21"/>
        </w:rPr>
        <w:t xml:space="preserve">For most organisations the honest answer is limited but not nil. The routes by which climate change reaches information security are physical, operational, supply-chain and regulatory rather than direct.</w:t>
      </w:r>
    </w:p>
    <w:p>
      <w:pPr>
        <w:pStyle w:val="Heading2"/>
        <w:spacing w:after="110" w:before="260"/>
      </w:pPr>
      <w:r>
        <w:rPr>
          <w:rFonts w:ascii="Inter" w:cs="Inter" w:eastAsia="Inter" w:hAnsi="Inter"/>
          <w:b/>
          <w:bCs/>
          <w:i w:val="false"/>
          <w:iCs w:val="false"/>
          <w:color w:val="595959"/>
          <w:sz w:val="24"/>
          <w:szCs w:val="24"/>
        </w:rPr>
        <w:t xml:space="preserve">Guidance</w:t>
      </w:r>
    </w:p>
    <w:p>
      <w:pPr>
        <w:spacing w:after="120" w:line="264"/>
      </w:pPr>
      <w:r>
        <w:rPr>
          <w:rFonts w:ascii="Inter" w:cs="Inter" w:eastAsia="Inter" w:hAnsi="Inter"/>
          <w:b w:val="false"/>
          <w:bCs w:val="false"/>
          <w:i w:val="false"/>
          <w:iCs w:val="false"/>
          <w:color w:val="000000"/>
          <w:sz w:val="21"/>
          <w:szCs w:val="21"/>
        </w:rPr>
        <w:t xml:space="preserve">Consider each of the following and record the conclusion, including where the conclusion is that it does not apply.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4332"/>
        <w:gridCol w:w="2708"/>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Route</w:t>
            </w:r>
          </w:p>
        </w:tc>
        <w:tc>
          <w:tcPr>
            <w:tcW w:type="dxa" w:w="433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to consider</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If relevant, where it goes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risk to sites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Flood, heat, storm and wildfire exposure of offices, data centres and the homes of remote workers. Rising cooling demand and its effect on availability.</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Context analysis (4.1); risk register; A.7.5 and A.7.11</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Availability and continuity</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Extreme weather affecting power, connectivity, transport and staff availability. Regional grid stress.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BIA and continuity plans; A.5.29, A.5.30, A.8.14</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Supply chain concentration</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Cloud regions, data centres or critical suppliers concentrated in exposed geographies.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register and review; A.5.19 to A.5.23</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Interested party requirements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Customer ESG questionnaires, investor or parent company reporting, insurer conditions, disclosure regimes such as CSRD.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Interested parties register (4.2); legal register A.5.31</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Regulatory change</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Sustainability reporting obligations that reach the information the ISMS protects, or that create new data-handling duties.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Legal and regulatory register; A.5.31</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Organisational change driven by climate policy</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Site consolidation, shifts to remote working, migration between cloud regions - each of which is an ISMS change.</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change log (Clause 6.3, workbook tab 19)</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Do not over-engineer this. A well-reasoned paragraph in the context analysis saying which of the six routes apply and which do not, dated and reviewed annually, satisfies the amendment. What fails is silence - an auditor asking "did you consider climate change?" and getting a blank look. What also fails, in a different way, is a bolted-on sustainability section that has nothing to do with information security; it invites questions you have no reason to invite.</w:t>
      </w:r>
    </w:p>
    <w:p>
      <w:pPr>
        <w:spacing w:after="120" w:line="264"/>
      </w:pPr>
      <w:r>
        <w:rPr>
          <w:rFonts w:ascii="Inter" w:cs="Inter" w:eastAsia="Inter" w:hAnsi="Inter"/>
          <w:b w:val="false"/>
          <w:bCs w:val="false"/>
          <w:i w:val="false"/>
          <w:iCs w:val="false"/>
          <w:color w:val="000000"/>
          <w:sz w:val="21"/>
          <w:szCs w:val="21"/>
        </w:rPr>
        <w:t xml:space="preserve">Where climate change is determined to be relevant, the resulting issues feed the ISMS exactly like any other issue: into the context analysis, then into risks and opportunities under 6.1.1, then into the risk register under 6.1.2 if they translate into risks to information.</w:t>
      </w:r>
    </w:p>
    <w:p>
      <w:pPr>
        <w:pStyle w:val="Heading2"/>
        <w:spacing w:after="110" w:before="260"/>
      </w:pPr>
      <w:r>
        <w:rPr>
          <w:rFonts w:ascii="Inter" w:cs="Inter" w:eastAsia="Inter" w:hAnsi="Inter"/>
          <w:b/>
          <w:bCs/>
          <w:i w:val="false"/>
          <w:iCs w:val="false"/>
          <w:color w:val="595959"/>
          <w:sz w:val="24"/>
          <w:szCs w:val="24"/>
        </w:rPr>
        <w:t xml:space="preserve">Other information</w:t>
      </w:r>
    </w:p>
    <w:p>
      <w:pPr>
        <w:spacing w:after="120" w:line="264"/>
      </w:pPr>
      <w:r>
        <w:rPr>
          <w:rFonts w:ascii="Inter" w:cs="Inter" w:eastAsia="Inter" w:hAnsi="Inter"/>
          <w:b w:val="false"/>
          <w:bCs w:val="false"/>
          <w:i w:val="false"/>
          <w:iCs w:val="false"/>
          <w:color w:val="000000"/>
          <w:sz w:val="21"/>
          <w:szCs w:val="21"/>
        </w:rPr>
        <w:t>The amendment is part of a harmonised change made by ISO across its management system standards following the London Declaration. If you hold other ISO certifications, ask your quality or environmental manager what they wrote - reusing it is legitimate and faster.</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Clause 6.3 - Planning of changes</w:t>
      </w:r>
    </w:p>
    <w:p>
      <w:pPr>
        <w:spacing w:after="120" w:line="264"/>
      </w:pPr>
      <w:r>
        <w:rPr>
          <w:rFonts w:ascii="Inter" w:cs="Inter" w:eastAsia="Inter" w:hAnsi="Inter"/>
          <w:b w:val="false"/>
          <w:bCs w:val="false"/>
          <w:i w:val="false"/>
          <w:iCs w:val="false"/>
          <w:color w:val="000000"/>
          <w:sz w:val="21"/>
          <w:szCs w:val="21"/>
        </w:rPr>
        <w:t xml:space="preserve">New in the 2022 revision. ISO/IEC 27003:2017 predates it entirely, so nothing below is derived from a guidance standard; it is best practice consistent with how 27003 treats comparable clauses.</w:t>
      </w:r>
    </w:p>
    <w:p>
      <w:pPr>
        <w:pStyle w:val="Heading2"/>
        <w:spacing w:after="110" w:before="260"/>
      </w:pPr>
      <w:r>
        <w:rPr>
          <w:rFonts w:ascii="Inter" w:cs="Inter" w:eastAsia="Inter" w:hAnsi="Inter"/>
          <w:b/>
          <w:bCs/>
          <w:i w:val="false"/>
          <w:iCs w:val="false"/>
          <w:color w:val="595959"/>
          <w:sz w:val="24"/>
          <w:szCs w:val="24"/>
        </w:rPr>
        <w:t xml:space="preserve">Required activity</w:t>
      </w:r>
    </w:p>
    <w:p>
      <w:pPr>
        <w:spacing w:after="120" w:line="264"/>
      </w:pPr>
      <w:r>
        <w:rPr>
          <w:rFonts w:ascii="Inter" w:cs="Inter" w:eastAsia="Inter" w:hAnsi="Inter"/>
          <w:b w:val="false"/>
          <w:bCs w:val="false"/>
          <w:i w:val="false"/>
          <w:iCs w:val="false"/>
          <w:color w:val="000000"/>
          <w:sz w:val="21"/>
          <w:szCs w:val="21"/>
        </w:rPr>
        <w:t xml:space="preserve">When the organisation determines the need for changes to the ISMS, the changes are carried out in a planned manner.</w:t>
      </w:r>
    </w:p>
    <w:p>
      <w:pPr>
        <w:pStyle w:val="Heading2"/>
        <w:spacing w:after="110" w:before="260"/>
      </w:pPr>
      <w:r>
        <w:rPr>
          <w:rFonts w:ascii="Inter" w:cs="Inter" w:eastAsia="Inter" w:hAnsi="Inter"/>
          <w:b/>
          <w:bCs/>
          <w:i w:val="false"/>
          <w:iCs w:val="false"/>
          <w:color w:val="595959"/>
          <w:sz w:val="24"/>
          <w:szCs w:val="24"/>
        </w:rPr>
        <w:t xml:space="preserve">Explanation</w:t>
      </w:r>
    </w:p>
    <w:p>
      <w:pPr>
        <w:spacing w:after="120" w:line="264"/>
      </w:pPr>
      <w:r>
        <w:rPr>
          <w:rFonts w:ascii="Inter" w:cs="Inter" w:eastAsia="Inter" w:hAnsi="Inter"/>
          <w:b w:val="false"/>
          <w:bCs w:val="false"/>
          <w:i w:val="false"/>
          <w:iCs w:val="false"/>
          <w:color w:val="000000"/>
          <w:sz w:val="21"/>
          <w:szCs w:val="21"/>
        </w:rPr>
        <w:t xml:space="preserve">The clause is one sentence and is easily dismissed. It exists because management systems degrade at the moment they change: an organisation acquires a company, moves to a new cloud region, replaces its top management, or restructures - and the ISMS quietly stops describing reality. The scope statement still names an office that closed. The risk register still lists systems that were decommissioned. The SoA excludes a control on the grounds that the organisation does not develop software, six months after it hired an engineering team.</w:t>
      </w:r>
    </w:p>
    <w:p>
      <w:pPr>
        <w:spacing w:after="120" w:line="264"/>
      </w:pPr>
      <w:r>
        <w:rPr>
          <w:rFonts w:ascii="Inter" w:cs="Inter" w:eastAsia="Inter" w:hAnsi="Inter"/>
          <w:b w:val="false"/>
          <w:bCs w:val="false"/>
          <w:i w:val="false"/>
          <w:iCs w:val="false"/>
          <w:color w:val="000000"/>
          <w:sz w:val="21"/>
          <w:szCs w:val="21"/>
        </w:rPr>
        <w:t xml:space="preserve">Two distinctions matter, and both are routinely missed.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3"/>
        <w:gridCol w:w="4513"/>
      </w:tblGrid>
      <w:tr>
        <w:trPr>
          <w:tblHeader/>
        </w:trPr>
        <w:tc>
          <w:tcPr>
            <w:tcW w:type="dxa" w:w="451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This clause is about...</w:t>
            </w:r>
          </w:p>
        </w:tc>
        <w:tc>
          <w:tcPr>
            <w:tcW w:type="dxa" w:w="451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This clause is NOT about...</w:t>
            </w:r>
          </w:p>
        </w:tc>
      </w:tr>
      <w:tr>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Changes to the management system itself: scope, structure, policy set, risk methodology, resourcing, top management, major new services or suppliers.</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Changes to production systems. That is Annex A control A.8.32, a different requirement with a different process and a different owner.</w:t>
            </w:r>
          </w:p>
        </w:tc>
      </w:tr>
      <w:tr>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Considering consequences before the change is made.</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Recording that a change happened after the fact. A change log with no evidence of prior consideration does not satisfy "in a planned manner".</w:t>
            </w:r>
          </w:p>
        </w:tc>
      </w:tr>
    </w:tbl>
    <w:p>
      <w:pPr>
        <w:pStyle w:val="Heading2"/>
        <w:spacing w:after="110" w:before="260"/>
      </w:pPr>
      <w:r>
        <w:rPr>
          <w:rFonts w:ascii="Inter" w:cs="Inter" w:eastAsia="Inter" w:hAnsi="Inter"/>
          <w:b/>
          <w:bCs/>
          <w:i w:val="false"/>
          <w:iCs w:val="false"/>
          <w:color w:val="595959"/>
          <w:sz w:val="24"/>
          <w:szCs w:val="24"/>
        </w:rPr>
        <w:t xml:space="preserve">Guidance</w:t>
      </w:r>
    </w:p>
    <w:p>
      <w:pPr>
        <w:pStyle w:val="Heading3"/>
        <w:spacing w:after="90" w:before="200"/>
      </w:pPr>
      <w:r>
        <w:rPr>
          <w:rFonts w:ascii="Inter" w:cs="Inter" w:eastAsia="Inter" w:hAnsi="Inter"/>
          <w:b/>
          <w:bCs/>
          <w:i w:val="false"/>
          <w:iCs w:val="false"/>
          <w:color w:val="000000"/>
          <w:sz w:val="21"/>
          <w:szCs w:val="21"/>
        </w:rPr>
        <w:t xml:space="preserve">4.1 Determine what counts as an ISMS change</w:t>
      </w:r>
    </w:p>
    <w:p>
      <w:pPr>
        <w:spacing w:after="120" w:line="264"/>
      </w:pPr>
      <w:r>
        <w:rPr>
          <w:rFonts w:ascii="Inter" w:cs="Inter" w:eastAsia="Inter" w:hAnsi="Inter"/>
          <w:b w:val="false"/>
          <w:bCs w:val="false"/>
          <w:i w:val="false"/>
          <w:iCs w:val="false"/>
          <w:color w:val="000000"/>
          <w:sz w:val="21"/>
          <w:szCs w:val="21"/>
        </w:rPr>
        <w:t xml:space="preserve">Define the trigger list in advance, or the clause will be applied inconsistently. A workable list: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change to the ISMS scope - new or closed location, new legal entity, a service brought in or taken out.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organisational change - restructure, acquisition or disposal, a change of top management or of the ISMS owner.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new or materially changed product or service that processes information within scope.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significant technology or platform change - a cloud migration, a new core system, a change of identity provider.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Onboarding or losing a critical supplier, or a material change to what an existing one does.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change to the information security policy set, the risk methodology, or the risk acceptance criteria.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change in the legal, regulatory or contractual landscape that alters obligations.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material change in resourcing - budget cut, loss of the only person who understands the ISMS.</w:t>
      </w:r>
    </w:p>
    <w:p>
      <w:pPr>
        <w:pStyle w:val="Heading3"/>
        <w:spacing w:after="90" w:before="200"/>
      </w:pPr>
      <w:r>
        <w:rPr>
          <w:rFonts w:ascii="Inter" w:cs="Inter" w:eastAsia="Inter" w:hAnsi="Inter"/>
          <w:b/>
          <w:bCs/>
          <w:i w:val="false"/>
          <w:iCs w:val="false"/>
          <w:color w:val="000000"/>
          <w:sz w:val="21"/>
          <w:szCs w:val="21"/>
        </w:rPr>
        <w:t xml:space="preserve">4.2 Assess the consequences before making the change</w:t>
      </w:r>
    </w:p>
    <w:p>
      <w:pPr>
        <w:spacing w:after="120" w:line="264"/>
      </w:pPr>
      <w:r>
        <w:rPr>
          <w:rFonts w:ascii="Inter" w:cs="Inter" w:eastAsia="Inter" w:hAnsi="Inter"/>
          <w:b w:val="false"/>
          <w:bCs w:val="false"/>
          <w:i w:val="false"/>
          <w:iCs w:val="false"/>
          <w:color w:val="000000"/>
          <w:sz w:val="21"/>
          <w:szCs w:val="21"/>
        </w:rPr>
        <w:t xml:space="preserve">For each change, work through the same questions. The workbook tab is built around them.</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249"/>
        <w:gridCol w:w="5777"/>
      </w:tblGrid>
      <w:tr>
        <w:trPr>
          <w:tblHeader/>
        </w:trPr>
        <w:tc>
          <w:tcPr>
            <w:tcW w:type="dxa" w:w="324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Question</w:t>
            </w:r>
          </w:p>
        </w:tc>
        <w:tc>
          <w:tcPr>
            <w:tcW w:type="dxa" w:w="577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Why it matters</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the ISMS scope change?</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If yes, the scope statement is reissued and the certification body must be notified. This is the single most commonly missed consequence.</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the risk assessment need to be redone, in whole or in part?</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8.2 requires reassessment when significant changes are proposed or occur. A change assessed here is what triggers it.</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the Statement of Applicability change?</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Controls excluded on scope grounds may become applicable. This is where an SoA silently goes stale.</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Which documented information is affected?</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policies, register entries, RACI, procedures. Update them as part of the change, not afterwards.</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resources does the change need?</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7.1. A change nobody resourced does not happen, it just gets recorded as having happened.</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Who needs to know, and when?</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7.4. Staff, committee, top management, certification body, and sometimes customers.</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Who approves it?</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Proportionate to the change. A scope change needs top management; a policy revision may not.</w:t>
            </w:r>
          </w:p>
        </w:tc>
      </w:tr>
    </w:tbl>
    <w:p>
      <w:pPr>
        <w:pStyle w:val="Heading3"/>
        <w:spacing w:after="90" w:before="200"/>
      </w:pPr>
      <w:r>
        <w:rPr>
          <w:rFonts w:ascii="Inter" w:cs="Inter" w:eastAsia="Inter" w:hAnsi="Inter"/>
          <w:b/>
          <w:bCs/>
          <w:i w:val="false"/>
          <w:iCs w:val="false"/>
          <w:color w:val="000000"/>
          <w:sz w:val="21"/>
          <w:szCs w:val="21"/>
        </w:rPr>
        <w:t xml:space="preserve">4.3 Carry out and review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 the approval and the planned implementation date before the change is made.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Implement, updating the affected documented information as part of the work rather than as a follow-up task.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Review after the change has bedded in - a quarter is usually right - and confirm it landed as planned. Unintended consequences of change are separately caught by Clause 8.1, but a post-change review is the cheapest way to find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Feed anything the change revealed into the ISMS risks and opportunities register under 6.1.1.</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Practical advice for a first implementation: do not build a heavyweight process for this. A single tab with a row per ISMS change, filled in before the change and reviewed after, is enough and is what most certified organisations actually have. What auditors look for is evidence of thought before action, dated. Two well-documented changes beat a thick procedure with nothing in it.</w:t>
      </w:r>
    </w:p>
    <w:p>
      <w:pPr>
        <w:pStyle w:val="Heading2"/>
        <w:spacing w:after="110" w:before="260"/>
      </w:pPr>
      <w:r>
        <w:rPr>
          <w:rFonts w:ascii="Inter" w:cs="Inter" w:eastAsia="Inter" w:hAnsi="Inter"/>
          <w:b/>
          <w:bCs/>
          <w:i w:val="false"/>
          <w:iCs w:val="false"/>
          <w:color w:val="595959"/>
          <w:sz w:val="24"/>
          <w:szCs w:val="24"/>
        </w:rPr>
        <w:t xml:space="preserve">Other information</w:t>
      </w:r>
    </w:p>
    <w:p>
      <w:pPr>
        <w:spacing w:after="120" w:line="264"/>
      </w:pPr>
      <w:r>
        <w:rPr>
          <w:rFonts w:ascii="Inter" w:cs="Inter" w:eastAsia="Inter" w:hAnsi="Inter"/>
          <w:b w:val="false"/>
          <w:bCs w:val="false"/>
          <w:i w:val="false"/>
          <w:iCs w:val="false"/>
          <w:color w:val="000000"/>
          <w:sz w:val="21"/>
          <w:szCs w:val="21"/>
        </w:rPr>
        <w:t xml:space="preserve">Clause 6.3 interacts with Clause 8.1, which requires control of planned changes and review of the consequences of unintended changes, and with Clause 9.3.2 b), where changes in external and internal issues are a required management review input. The change log is a useful data pack for that review.</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The eleven controls new in ISO/IEC 27001:2022 Annex A</w:t>
      </w:r>
    </w:p>
    <w:p>
      <w:pPr>
        <w:spacing w:after="120" w:line="264"/>
      </w:pPr>
      <w:r>
        <w:rPr>
          <w:rFonts w:ascii="Inter" w:cs="Inter" w:eastAsia="Inter" w:hAnsi="Inter"/>
          <w:b w:val="false"/>
          <w:bCs w:val="false"/>
          <w:i w:val="false"/>
          <w:iCs w:val="false"/>
          <w:color w:val="000000"/>
          <w:sz w:val="21"/>
          <w:szCs w:val="21"/>
        </w:rPr>
        <w:t>ISO/IEC 27003:2017 has no coverage of these, and its Annex A examples use the 2013 control numbering throughout. ISO/IEC 27002:2022 gives the authoritative implementation guidance and you should hold a copy; what follows is the practitioner layer - why the control appeared, where implementations go wrong, and what evidence satisfies an auditor.</w:t>
      </w:r>
    </w:p>
    <w:p>
      <w:pPr>
        <w:pStyle w:val="Heading2"/>
        <w:spacing w:after="110" w:before="260"/>
      </w:pPr>
      <w:r>
        <w:rPr>
          <w:rFonts w:ascii="Inter" w:cs="Inter" w:eastAsia="Inter" w:hAnsi="Inter"/>
          <w:b/>
          <w:bCs/>
          <w:i w:val="false"/>
          <w:iCs w:val="false"/>
          <w:color w:val="595959"/>
          <w:sz w:val="24"/>
          <w:szCs w:val="24"/>
        </w:rPr>
        <w:t xml:space="preserve">A.5.7  Threat intelligence</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Nothing in the 2013 control set required an organisation to look outward systematically. Threat intelligence was implicit in vulnerability management at best.</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Define your sources and who reads them on what cadence. Then define the three routes out of intelligence into action: into vulnerability prioritisation, into detection rules, and into the risk assessment. Intelligence with no route into a decision is a subscription, not a control.</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Source list; named reviewer; a sample of tickets or risk entries that exist because of an intelligence item</w:t>
      </w:r>
    </w:p>
    <w:p>
      <w:pPr>
        <w:pStyle w:val="Heading2"/>
        <w:spacing w:after="110" w:before="260"/>
      </w:pPr>
      <w:r>
        <w:rPr>
          <w:rFonts w:ascii="Inter" w:cs="Inter" w:eastAsia="Inter" w:hAnsi="Inter"/>
          <w:b/>
          <w:bCs/>
          <w:i w:val="false"/>
          <w:iCs w:val="false"/>
          <w:color w:val="595959"/>
          <w:sz w:val="24"/>
          <w:szCs w:val="24"/>
        </w:rPr>
        <w:t xml:space="preserve">A.5.23  Information security for use of cloud services</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Cloud was covered only obliquely through supplier relationships. This control makes acquisition, use, management and exit from cloud services explicit.</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Four things auditors probe: an approval route before a service is adopted, a documented understanding of the shared responsibility split for each significant service, configuration baselines for what you are responsible for, and an exit plan that says how data comes back and gets deleted. The exit plan is the one nobody has.</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Approved cloud service register; shared responsibility matrix per service; configuration baseline; exit plan for each critical service</w:t>
      </w:r>
    </w:p>
    <w:p>
      <w:pPr>
        <w:pStyle w:val="Heading2"/>
        <w:spacing w:after="110" w:before="260"/>
      </w:pPr>
      <w:r>
        <w:rPr>
          <w:rFonts w:ascii="Inter" w:cs="Inter" w:eastAsia="Inter" w:hAnsi="Inter"/>
          <w:b/>
          <w:bCs/>
          <w:i w:val="false"/>
          <w:iCs w:val="false"/>
          <w:color w:val="595959"/>
          <w:sz w:val="24"/>
          <w:szCs w:val="24"/>
        </w:rPr>
        <w:t xml:space="preserve">A.5.30  ICT readiness for business continuity</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Continuity was addressed at the management level but ICT recovery capability was not separately required.</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The clause turns on RTO and RPO agreed with the business rather than assumed by IT, recovery plans that actually meet those numbers, and testing that measures achieved against agreed. A restore test that does not record the time taken has not tested readiness, only capability.</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BIA with agreed RTO and RPO per service; ICT recovery plans; test reports showing achieved against agreed</w:t>
      </w:r>
    </w:p>
    <w:p>
      <w:pPr>
        <w:pStyle w:val="Heading2"/>
        <w:spacing w:after="110" w:before="260"/>
      </w:pPr>
      <w:r>
        <w:rPr>
          <w:rFonts w:ascii="Inter" w:cs="Inter" w:eastAsia="Inter" w:hAnsi="Inter"/>
          <w:b/>
          <w:bCs/>
          <w:i w:val="false"/>
          <w:iCs w:val="false"/>
          <w:color w:val="595959"/>
          <w:sz w:val="24"/>
          <w:szCs w:val="24"/>
        </w:rPr>
        <w:t xml:space="preserve">A.7.4  Physical security monitoring</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Physical entry was controlled under the 2013 set, but continuous monitoring for unauthorised access was not required.</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Coverage of entry points and secure areas, retention long enough to support an investigation, and evidence that alarms are actually responded to. Consider privacy and employment law when monitoring people, and tell them it happens.</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CCTV coverage plan and retention setting; alarm monitoring contract; a sample of alarm responses; monitoring notice</w:t>
      </w:r>
    </w:p>
    <w:p>
      <w:pPr>
        <w:pStyle w:val="Heading2"/>
        <w:spacing w:after="110" w:before="260"/>
      </w:pPr>
      <w:r>
        <w:rPr>
          <w:rFonts w:ascii="Inter" w:cs="Inter" w:eastAsia="Inter" w:hAnsi="Inter"/>
          <w:b/>
          <w:bCs/>
          <w:i w:val="false"/>
          <w:iCs w:val="false"/>
          <w:color w:val="595959"/>
          <w:sz w:val="24"/>
          <w:szCs w:val="24"/>
        </w:rPr>
        <w:t xml:space="preserve">A.8.9  Configuration management</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Configurations were covered piecemeal across several 2013 controls. This consolidates them.</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Define baselines per platform, apply them through automation rather than documentation where you can, and detect drift. A baseline nobody checks against is a document. The strongest evidence here is an infrastructure-as-code repository plus a compliance scan showing conformance to it.</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Hardening baselines per platform; IaC repository; compliance scan results; drift reports</w:t>
      </w:r>
    </w:p>
    <w:p>
      <w:pPr>
        <w:pStyle w:val="Heading2"/>
        <w:spacing w:after="110" w:before="260"/>
      </w:pPr>
      <w:r>
        <w:rPr>
          <w:rFonts w:ascii="Inter" w:cs="Inter" w:eastAsia="Inter" w:hAnsi="Inter"/>
          <w:b/>
          <w:bCs/>
          <w:i w:val="false"/>
          <w:iCs w:val="false"/>
          <w:color w:val="595959"/>
          <w:sz w:val="24"/>
          <w:szCs w:val="24"/>
        </w:rPr>
        <w:t xml:space="preserve">A.8.10  Information deletion</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Retention was addressed; deletion was not required as a positive obligation.</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Retention periods defined per information type and technically enforced, with deletion evidenced. The two places this falls down are backups and third parties - deleting from production while a copy sits in a supplier's system for five years satisfies nobody.</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Retention schedule; deletion job configuration and logs; supplier deletion confirmations</w:t>
      </w:r>
    </w:p>
    <w:p>
      <w:pPr>
        <w:pStyle w:val="Heading2"/>
        <w:spacing w:after="110" w:before="260"/>
      </w:pPr>
      <w:r>
        <w:rPr>
          <w:rFonts w:ascii="Inter" w:cs="Inter" w:eastAsia="Inter" w:hAnsi="Inter"/>
          <w:b/>
          <w:bCs/>
          <w:i w:val="false"/>
          <w:iCs w:val="false"/>
          <w:color w:val="595959"/>
          <w:sz w:val="24"/>
          <w:szCs w:val="24"/>
        </w:rPr>
        <w:t xml:space="preserve">A.8.11  Data masking</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New. Reflects the practical reality of non-production environments and of interfaces that display more than they need to.</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Apply masking, pseudonymisation or tokenisation where full values are not needed - typically non-production environments, support tooling and analytics. Tie the rule to the access control policy, the classification scheme and applicable data protection legislation, so the decision is not made case by case.</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Masking standard; masking tool configuration; non-production data handling procedure; evidence for any approved exception</w:t>
      </w:r>
    </w:p>
    <w:p>
      <w:pPr>
        <w:pStyle w:val="Heading2"/>
        <w:spacing w:after="110" w:before="260"/>
      </w:pPr>
      <w:r>
        <w:rPr>
          <w:rFonts w:ascii="Inter" w:cs="Inter" w:eastAsia="Inter" w:hAnsi="Inter"/>
          <w:b/>
          <w:bCs/>
          <w:i w:val="false"/>
          <w:iCs w:val="false"/>
          <w:color w:val="595959"/>
          <w:sz w:val="24"/>
          <w:szCs w:val="24"/>
        </w:rPr>
        <w:t xml:space="preserve">A.8.12  Data leakage prevention</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New. Recognises that the exfiltration path matters as much as the access decision.</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Proportionality is everything here. A small organisation is not expected to deploy enterprise DLP; it is expected to have thought about egress. Email rules, removable media control, cloud app visibility and egress restrictions are all legitimate answers. What is not legitimate is having no position.</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DLP or equivalent configuration; alert review records; USB control settings; the risk-based rationale for the level chosen</w:t>
      </w:r>
    </w:p>
    <w:p>
      <w:pPr>
        <w:pStyle w:val="Heading2"/>
        <w:spacing w:after="110" w:before="260"/>
      </w:pPr>
      <w:r>
        <w:rPr>
          <w:rFonts w:ascii="Inter" w:cs="Inter" w:eastAsia="Inter" w:hAnsi="Inter"/>
          <w:b/>
          <w:bCs/>
          <w:i w:val="false"/>
          <w:iCs w:val="false"/>
          <w:color w:val="595959"/>
          <w:sz w:val="24"/>
          <w:szCs w:val="24"/>
        </w:rPr>
        <w:t xml:space="preserve">A.8.16  Monitoring activities</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Logging existed in the 2013 set; acting on the logs did not.</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Detection use cases derived from the risk register, alerts tuned to a volume humans can actually triage, and a documented route from alert to triage to incident. Record triage decisions including decisions to take no action - an untriaged alert queue is worse evidence than no alerting at all.</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Detection rule set mapped to risks; alert triage records; monitoring coverage report</w:t>
      </w:r>
    </w:p>
    <w:p>
      <w:pPr>
        <w:pStyle w:val="Heading2"/>
        <w:spacing w:after="110" w:before="260"/>
      </w:pPr>
      <w:r>
        <w:rPr>
          <w:rFonts w:ascii="Inter" w:cs="Inter" w:eastAsia="Inter" w:hAnsi="Inter"/>
          <w:b/>
          <w:bCs/>
          <w:i w:val="false"/>
          <w:iCs w:val="false"/>
          <w:color w:val="595959"/>
          <w:sz w:val="24"/>
          <w:szCs w:val="24"/>
        </w:rPr>
        <w:t xml:space="preserve">A.8.23  Web filtering</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New. A narrow, practical control.</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Category-based filtering of known-malicious categories, logging, and an exception process for legitimate blocked sites. Keep the exception process light or people will route around the control.</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Filtering configuration; blocked category list; exception register; usage reports</w:t>
      </w:r>
    </w:p>
    <w:p>
      <w:pPr>
        <w:pStyle w:val="Heading2"/>
        <w:spacing w:after="110" w:before="260"/>
      </w:pPr>
      <w:r>
        <w:rPr>
          <w:rFonts w:ascii="Inter" w:cs="Inter" w:eastAsia="Inter" w:hAnsi="Inter"/>
          <w:b/>
          <w:bCs/>
          <w:i w:val="false"/>
          <w:iCs w:val="false"/>
          <w:color w:val="595959"/>
          <w:sz w:val="24"/>
          <w:szCs w:val="24"/>
        </w:rPr>
        <w:t xml:space="preserve">A.8.28  Secure coding</w:t>
      </w:r>
    </w:p>
    <w:p>
      <w:pPr>
        <w:spacing w:after="120" w:line="264"/>
      </w:pPr>
      <w:r>
        <w:rPr>
          <w:rFonts w:ascii="Inter" w:cs="Inter" w:eastAsia="Inter" w:hAnsi="Inter"/>
          <w:b/>
          <w:bCs/>
          <w:i w:val="false"/>
          <w:iCs w:val="false"/>
          <w:color w:val="000000"/>
          <w:sz w:val="21"/>
          <w:szCs w:val="21"/>
        </w:rPr>
        <w:t xml:space="preserve">Why it is new: </w:t>
      </w:r>
      <w:r>
        <w:rPr>
          <w:rFonts w:ascii="Inter" w:cs="Inter" w:eastAsia="Inter" w:hAnsi="Inter"/>
          <w:b w:val="false"/>
          <w:bCs w:val="false"/>
          <w:i w:val="false"/>
          <w:iCs w:val="false"/>
          <w:color w:val="000000"/>
          <w:sz w:val="21"/>
          <w:szCs w:val="21"/>
        </w:rPr>
        <w:t xml:space="preserve">Secure development existed at the lifecycle level; coding practice itself did not.</w:t>
      </w:r>
    </w:p>
    <w:p>
      <w:pPr>
        <w:spacing w:after="120" w:line="264"/>
      </w:pPr>
      <w:r>
        <w:rPr>
          <w:rFonts w:ascii="Inter" w:cs="Inter" w:eastAsia="Inter" w:hAnsi="Inter"/>
          <w:b/>
          <w:bCs/>
          <w:i w:val="false"/>
          <w:iCs w:val="false"/>
          <w:color w:val="000000"/>
          <w:sz w:val="21"/>
          <w:szCs w:val="21"/>
        </w:rPr>
        <w:t xml:space="preserve">Where implementations go wrong: </w:t>
      </w:r>
      <w:r>
        <w:rPr>
          <w:rFonts w:ascii="Inter" w:cs="Inter" w:eastAsia="Inter" w:hAnsi="Inter"/>
          <w:b w:val="false"/>
          <w:bCs w:val="false"/>
          <w:i w:val="false"/>
          <w:iCs w:val="false"/>
          <w:color w:val="000000"/>
          <w:sz w:val="21"/>
          <w:szCs w:val="21"/>
        </w:rPr>
        <w:t xml:space="preserve">A coding standard for the languages actually in use, developer training that is not a generic annual module, peer review enforced technically through branch protection, and automated static and dependency analysis in the pipeline. Pipeline artefacts here double as audit evidence, which makes this one of the cheapest controls to evidence once built.</w:t>
      </w:r>
    </w:p>
    <w:p>
      <w:pPr>
        <w:spacing w:after="120" w:line="264"/>
      </w:pPr>
      <w:r>
        <w:rPr>
          <w:rFonts w:ascii="Inter" w:cs="Inter" w:eastAsia="Inter" w:hAnsi="Inter"/>
          <w:b/>
          <w:bCs/>
          <w:i w:val="false"/>
          <w:iCs w:val="false"/>
          <w:color w:val="000000"/>
          <w:sz w:val="21"/>
          <w:szCs w:val="21"/>
        </w:rPr>
        <w:t xml:space="preserve">Evidence that satisfies an auditor: </w:t>
      </w:r>
      <w:r>
        <w:rPr>
          <w:rFonts w:ascii="Inter" w:cs="Inter" w:eastAsia="Inter" w:hAnsi="Inter"/>
          <w:b w:val="false"/>
          <w:bCs w:val="false"/>
          <w:i w:val="false"/>
          <w:iCs w:val="false"/>
          <w:color w:val="000000"/>
          <w:sz w:val="21"/>
          <w:szCs w:val="21"/>
        </w:rPr>
        <w:t xml:space="preserve">Secure coding standard; branch protection settings; SAST and SCA reports; developer training records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A pattern worth noticing across the eleven: seven of them (threat intelligence, cloud, configuration management, deletion, masking, DLP, monitoring, web filtering, secure coding) are things a competent engineering organisation is already doing. The work is usually not implementation but evidencing - finding the pipeline artefact, the platform report or the configuration export that proves it, and pointing the SoA at it. Check what exists before scoping a build.</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The ISO/IEC 27002:2022 attribute scheme</w:t>
      </w:r>
    </w:p>
    <w:p>
      <w:pPr>
        <w:spacing w:after="120" w:line="264"/>
      </w:pPr>
      <w:r>
        <w:rPr>
          <w:rFonts w:ascii="Inter" w:cs="Inter" w:eastAsia="Inter" w:hAnsi="Inter"/>
          <w:b w:val="false"/>
          <w:bCs w:val="false"/>
          <w:i w:val="false"/>
          <w:iCs w:val="false"/>
          <w:color w:val="000000"/>
          <w:sz w:val="21"/>
          <w:szCs w:val="21"/>
        </w:rPr>
        <w:t xml:space="preserve">The 2022 revision gave every control five attributes, so the control set can be viewed through more than one lens. 27003 has nothing on this because the scheme did not exist when it was written.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05"/>
        <w:gridCol w:w="4332"/>
        <w:gridCol w:w="2888"/>
      </w:tblGrid>
      <w:tr>
        <w:trPr>
          <w:tblHeader/>
        </w:trPr>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Attribute</w:t>
            </w:r>
          </w:p>
        </w:tc>
        <w:tc>
          <w:tcPr>
            <w:tcW w:type="dxa" w:w="433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Values</w:t>
            </w:r>
          </w:p>
        </w:tc>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Who finds it useful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Control type</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Preventive, Detective, Corrective</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Anyone checking the balance of the control set. An estate that is 90% preventive has a detection problem.</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properties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Confidentiality, Integrity, Availability</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owners tracing controls back to what they protect.</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Cybersecurity concepts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Identify, Protect, Detect, Respond, Recover</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CISOs, and anyone who also has to report against NIST CSF - these are its functions.</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Operational capabilities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Governance, asset management, information protection, human resource security, physical security, system and network security, application security, secure configuration, identity and access management, threat and vulnerability management, continuity, supplier relationships security, legal and compliance, information security event management, information security assurance</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Whoever is allocating work. This is the attribute that tells you which team owns which controls.</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domains</w:t>
            </w:r>
          </w:p>
        </w:tc>
        <w:tc>
          <w:tcPr>
            <w:tcW w:type="dxa" w:w="43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Governance and ecosystem, Protection, Defence, Resilience</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Board-level reporting and comparison against other frameworks.</w:t>
            </w:r>
          </w:p>
        </w:tc>
      </w:tr>
    </w:tbl>
    <w:p>
      <w:pPr>
        <w:spacing w:after="120" w:line="264"/>
      </w:pPr>
      <w:r>
        <w:rPr>
          <w:rFonts w:ascii="Inter" w:cs="Inter" w:eastAsia="Inter" w:hAnsi="Inter"/>
          <w:b w:val="false"/>
          <w:bCs w:val="false"/>
          <w:i w:val="false"/>
          <w:iCs w:val="false"/>
          <w:color w:val="000000"/>
          <w:sz w:val="21"/>
          <w:szCs w:val="21"/>
        </w:rPr>
        <w:t>Workbook tab 03 carries control type, information security properties, cybersecurity concept and operational area, so the control set can be filtered by any of them. Those values are this kit's assignment following the scheme, not a reproduction of the attribute tables in ISO/IEC 27002:2022. Where you need ISO's exact values, reconcile against your licensed copy.</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most useful practical application: filter the SoA by operational area at the start of M4 and you have the work packages, already grouped by the team that will do them. It turns a list of 93 controls into eight or nine conversations.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Topic-specific policies</w:t>
      </w:r>
    </w:p>
    <w:p>
      <w:pPr>
        <w:spacing w:after="120" w:line="264"/>
      </w:pPr>
      <w:r>
        <w:rPr>
          <w:rFonts w:ascii="Inter" w:cs="Inter" w:eastAsia="Inter" w:hAnsi="Inter"/>
          <w:b w:val="false"/>
          <w:bCs w:val="false"/>
          <w:i w:val="false"/>
          <w:iCs w:val="false"/>
          <w:color w:val="000000"/>
          <w:sz w:val="21"/>
          <w:szCs w:val="21"/>
        </w:rPr>
        <w:t xml:space="preserve">ISO/IEC 27002:2022 at 5.1 names twelve example topics that typically warrant a topic-specific policy of their own. The Topic-Specific Policy Pack in this kit was checked against that list and now covers all twelve, plus five more that ISO does not name but that map to Annex A control groups worth governing separately.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152"/>
        <w:gridCol w:w="4874"/>
      </w:tblGrid>
      <w:tr>
        <w:trPr>
          <w:tblHeader/>
        </w:trPr>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27002 5.1 topic</w:t>
            </w:r>
          </w:p>
        </w:tc>
        <w:tc>
          <w:tcPr>
            <w:tcW w:type="dxa" w:w="487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in the pack</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 Access Control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and environmental security</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 Physical and Environmental Security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 management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13. Asset Management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transfer</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14. Information Transfer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configuration and handling of user endpoint devices</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 Secure Configuration and User Endpoint Devices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Networking security</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16. Networking Security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incident management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 Incident Management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11. Backup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Cryptography and key management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 Cryptographic Controls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classification and handling</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 Information Classification and Handling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of technical vulnerabilities</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17. Technical Vulnerability Management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development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 Secure Development Policy</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not named by ISO -</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Acceptable Use, 5. Supplier, 7. Business Continuity, 8. HR Security, 12. Logging and Monitoring</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The list at 5.1 is examples, not a requirement. A small organisation does not need seventeen policies and should merge several - asset management and acceptable use sit together comfortably, as do networking and secure configuration. What matters is that every topic has rules somewhere findable, not that every topic has its own file.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Keeping this current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Re-check the version baseline in section 1.1 before every implementation cycle.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third edition of ISO/IEC 27003 is expected around 2027. When it lands, sections 2 to 5 of this document should be re-derived from it and most of this supplement will become redundant. That is the intention.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ISO/IEC 27002 may be amended before 27003 is revised. Control guidance always comes from 27002, never from this document.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Watch for further harmonised amendments across the management system standards. Climate change was the first; the mechanism that produced it still exists.</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Current Standard Supplement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Standard Supplement</dc:title>
  <dc:creator>Sameer Khairkar</dc:creator>
  <dc:description>ISO/IEC 27001:2022/Amd 1:2024 and the 2022 control changes. Free template from sameerkhairkar.com. Practitioner material, not legal advice.</dc:description>
  <cp:lastModifiedBy>Sameer Khairkar</cp:lastModifiedBy>
  <cp:revision>1</cp:revision>
  <dcterms:created xsi:type="dcterms:W3CDTF">2026-08-10T11:39:27.092Z</dcterms:created>
  <dcterms:modified xsi:type="dcterms:W3CDTF">2026-08-10T11:39:27.092Z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