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rFonts w:ascii="Inter" w:cs="Inter" w:eastAsia="Inter" w:hAnsi="Inter"/>
          <w:b w:val="false"/>
          <w:bCs w:val="false"/>
          <w:i w:val="false"/>
          <w:iCs w:val="false"/>
          <w:color w:val="000000"/>
          <w:sz w:val="21"/>
          <w:szCs w:val="21"/>
        </w:rPr>
        <w:t xml:space="preserve"/>
      </w:r>
    </w:p>
    <w:p>
      <w:r>
        <w:rPr>
          <w:rFonts w:ascii="Inter" w:cs="Inter" w:eastAsia="Inter" w:hAnsi="Inter"/>
          <w:b w:val="false"/>
          <w:bCs w:val="false"/>
          <w:i w:val="false"/>
          <w:iCs w:val="false"/>
          <w:color w:val="000000"/>
          <w:sz w:val="21"/>
          <w:szCs w:val="21"/>
        </w:rPr>
        <w:t xml:space="preserve"/>
      </w:r>
    </w:p>
    <w:p>
      <w:r>
        <w:rPr>
          <w:rFonts w:ascii="Inter" w:cs="Inter" w:eastAsia="Inter" w:hAnsi="Inter"/>
          <w:b w:val="false"/>
          <w:bCs w:val="false"/>
          <w:i w:val="false"/>
          <w:iCs w:val="false"/>
          <w:color w:val="000000"/>
          <w:sz w:val="21"/>
          <w:szCs w:val="21"/>
        </w:rPr>
        <w:t xml:space="preserve"/>
      </w:r>
    </w:p>
    <w:p>
      <w:r>
        <w:rPr>
          <w:rFonts w:ascii="Inter" w:cs="Inter" w:eastAsia="Inter" w:hAnsi="Inter"/>
          <w:b w:val="false"/>
          <w:bCs w:val="false"/>
          <w:i w:val="false"/>
          <w:iCs w:val="false"/>
          <w:color w:val="000000"/>
          <w:sz w:val="21"/>
          <w:szCs w:val="21"/>
        </w:rPr>
        <w:t xml:space="preserve"/>
      </w:r>
    </w:p>
    <w:p>
      <w:pPr>
        <w:spacing w:after="60"/>
        <w:jc w:val="left"/>
      </w:pPr>
      <w:r>
        <w:rPr>
          <w:rFonts w:ascii="Inter" w:cs="Inter" w:eastAsia="Inter" w:hAnsi="Inter"/>
          <w:b/>
          <w:bCs/>
          <w:i w:val="false"/>
          <w:iCs w:val="false"/>
          <w:color w:val="595959"/>
          <w:sz w:val="22"/>
          <w:szCs w:val="22"/>
        </w:rPr>
        <w:t>Free ISO 27001 kit  ·  sameerkhairkar.com</w:t>
      </w:r>
    </w:p>
    <w:p>
      <w:pPr>
        <w:pBdr>
          <w:bottom w:val="single" w:color="D9D9D9" w:sz="12" w:space="6"/>
        </w:pBdr>
        <w:spacing w:after="300"/>
        <w:jc w:val="left"/>
      </w:pPr>
      <w:r>
        <w:rPr>
          <w:rFonts w:ascii="Inter" w:cs="Inter" w:eastAsia="Inter" w:hAnsi="Inter"/>
          <w:b w:val="false"/>
          <w:bCs w:val="false"/>
          <w:i w:val="false"/>
          <w:iCs w:val="false"/>
          <w:color w:val="808080"/>
          <w:sz w:val="19"/>
          <w:szCs w:val="19"/>
        </w:rPr>
        <w:t xml:space="preserve">ISO/IEC 27001:2022 Implementation Kit</w:t>
      </w:r>
    </w:p>
    <w:p>
      <w:pPr>
        <w:spacing w:after="100"/>
      </w:pPr>
      <w:r>
        <w:rPr>
          <w:rFonts w:ascii="Inter" w:cs="Inter" w:eastAsia="Inter" w:hAnsi="Inter"/>
          <w:b/>
          <w:bCs/>
          <w:i w:val="false"/>
          <w:iCs w:val="false"/>
          <w:color w:val="1A1A1A"/>
          <w:sz w:val="44"/>
          <w:szCs w:val="44"/>
        </w:rPr>
        <w:t xml:space="preserve">ISO/IEC 27003 and 27004 Conformance Matrix</w:t>
      </w:r>
    </w:p>
    <w:p>
      <w:pPr>
        <w:spacing w:after="400"/>
      </w:pPr>
      <w:r>
        <w:rPr>
          <w:rFonts w:ascii="Inter" w:cs="Inter" w:eastAsia="Inter" w:hAnsi="Inter"/>
          <w:b w:val="false"/>
          <w:bCs w:val="false"/>
          <w:i w:val="false"/>
          <w:iCs w:val="false"/>
          <w:color w:val="595959"/>
          <w:sz w:val="24"/>
          <w:szCs w:val="24"/>
        </w:rPr>
        <w:t xml:space="preserve">Traceable review of the implementation kit against the guidance standards</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2708"/>
        <w:gridCol w:w="6318"/>
      </w:tblGrid>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Organisation</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[YOUR ORGANISATION]</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 type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Reference - background reading</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 reference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[DOC-REF]</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Version</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[0.1 draft]</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Author</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[AUTHOR NAME AND ROLE]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 owner</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[ROLE]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Approved by</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[NAME, ROLE]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Approval date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Next review due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 - normally 12 months]</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Classification</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[Internal / Confidential]</w:t>
            </w:r>
          </w:p>
        </w:tc>
      </w:tr>
    </w:tbl>
    <w:p>
      <w:r>
        <w:rPr>
          <w:rFonts w:ascii="Inter" w:cs="Inter" w:eastAsia="Inter" w:hAnsi="Inter"/>
          <w:b w:val="false"/>
          <w:bCs w:val="false"/>
          <w:i w:val="false"/>
          <w:iCs w:val="false"/>
          <w:color w:val="000000"/>
          <w:sz w:val="21"/>
          <w:szCs w:val="21"/>
        </w:rPr>
        <w:t xml:space="preserve"/>
      </w:r>
    </w:p>
    <w:p>
      <w:pPr>
        <w:spacing w:after="120" w:line="264"/>
      </w:pPr>
      <w:r>
        <w:rPr>
          <w:rFonts w:ascii="Inter" w:cs="Inter" w:eastAsia="Inter" w:hAnsi="Inter"/>
          <w:b w:val="false"/>
          <w:bCs w:val="false"/>
          <w:i/>
          <w:iCs/>
          <w:color w:val="808080"/>
          <w:sz w:val="17"/>
          <w:szCs w:val="17"/>
        </w:rPr>
        <w:t>This is a free template. Text in [square brackets] must be completed or deleted before the document is issued. Shaded GUIDANCE boxes are notes to whoever is filling it in and must be deleted before issue.</w:t>
      </w:r>
    </w:p>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1. Status of this review</w:t>
      </w:r>
    </w:p>
    <w:p>
      <w:pPr>
        <w:spacing w:after="120" w:line="264"/>
      </w:pPr>
      <w:r>
        <w:rPr>
          <w:rFonts w:ascii="Inter" w:cs="Inter" w:eastAsia="Inter" w:hAnsi="Inter"/>
          <w:b w:val="false"/>
          <w:bCs w:val="false"/>
          <w:i w:val="false"/>
          <w:iCs w:val="false"/>
          <w:color w:val="000000"/>
          <w:sz w:val="21"/>
          <w:szCs w:val="21"/>
        </w:rPr>
        <w:t xml:space="preserve">This review was carried out against the text of ISO/IEC 27003:2017 (ISMS guidance) and ISO/IEC 27004:2016 (monitoring, measurement, analysis and evaluation). Every row of the conformance matrix in section 4 cites the 27003 subclause it derives from, so the mapping can be checked by anyone holding a copy of the standard.</w:t>
      </w:r>
    </w:p>
    <w:p>
      <w:pPr>
        <w:spacing w:after="120" w:line="264"/>
      </w:pPr>
      <w:r>
        <w:rPr>
          <w:rFonts w:ascii="Inter" w:cs="Inter" w:eastAsia="Inter" w:hAnsi="Inter"/>
          <w:b w:val="false"/>
          <w:bCs w:val="false"/>
          <w:i w:val="false"/>
          <w:iCs w:val="false"/>
          <w:color w:val="000000"/>
          <w:sz w:val="21"/>
          <w:szCs w:val="21"/>
        </w:rPr>
        <w:t xml:space="preserve">It is a design review of the kit, not a certification statement. Only a certification body can say whether an implementation conforms to ISO/IEC 27001, and neither 27003 nor 27004 is auditable in its own right - both are guidance.</w:t>
      </w:r>
    </w:p>
    <w:p>
      <w:pPr>
        <w:pStyle w:val="Heading2"/>
        <w:spacing w:after="110" w:before="260"/>
      </w:pPr>
      <w:r>
        <w:rPr>
          <w:rFonts w:ascii="Inter" w:cs="Inter" w:eastAsia="Inter" w:hAnsi="Inter"/>
          <w:b/>
          <w:bCs/>
          <w:i w:val="false"/>
          <w:iCs w:val="false"/>
          <w:color w:val="595959"/>
          <w:sz w:val="24"/>
          <w:szCs w:val="24"/>
        </w:rPr>
        <w:t xml:space="preserve">1.1 Two caveats about 27003 that matter more than most people notice</w:t>
      </w:r>
    </w:p>
    <w:p>
      <w:pPr>
        <w:pStyle w:val="Heading3"/>
        <w:spacing w:after="90" w:before="200"/>
      </w:pPr>
      <w:r>
        <w:rPr>
          <w:rFonts w:ascii="Inter" w:cs="Inter" w:eastAsia="Inter" w:hAnsi="Inter"/>
          <w:b/>
          <w:bCs/>
          <w:i w:val="false"/>
          <w:iCs w:val="false"/>
          <w:color w:val="000000"/>
          <w:sz w:val="21"/>
          <w:szCs w:val="21"/>
        </w:rPr>
        <w:t xml:space="preserve">Vintage mismatch</w:t>
      </w:r>
    </w:p>
    <w:p>
      <w:pPr>
        <w:spacing w:after="120" w:line="264"/>
      </w:pPr>
      <w:r>
        <w:rPr>
          <w:rFonts w:ascii="Inter" w:cs="Inter" w:eastAsia="Inter" w:hAnsi="Inter"/>
          <w:b w:val="false"/>
          <w:bCs w:val="false"/>
          <w:i w:val="false"/>
          <w:iCs w:val="false"/>
          <w:color w:val="000000"/>
          <w:sz w:val="21"/>
          <w:szCs w:val="21"/>
        </w:rPr>
        <w:t>ISO/IEC 27003:2017 was written against ISO/IEC 27001:2013 and has not been revised since. ISO/IEC 27001 was revised in 2022. The clause structure still lines up almost everywhere, but there are four places where it does not, and anyone quoting 27003 should know all four.</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444"/>
        <w:gridCol w:w="2708"/>
        <w:gridCol w:w="2347"/>
        <w:gridCol w:w="2527"/>
      </w:tblGrid>
      <w:tr>
        <w:trPr>
          <w:tblHeader/>
        </w:trPr>
        <w:tc>
          <w:tcPr>
            <w:tcW w:type="dxa" w:w="144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Area</w:t>
            </w:r>
          </w:p>
        </w:tc>
        <w:tc>
          <w:tcPr>
            <w:tcW w:type="dxa" w:w="2708"/>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Position in 27003:2017</w:t>
            </w:r>
          </w:p>
        </w:tc>
        <w:tc>
          <w:tcPr>
            <w:tcW w:type="dxa" w:w="2347"/>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Position in 27001:2022</w:t>
            </w:r>
          </w:p>
        </w:tc>
        <w:tc>
          <w:tcPr>
            <w:tcW w:type="dxa" w:w="2527"/>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Consequence</w:t>
            </w:r>
          </w:p>
        </w:tc>
      </w:tr>
      <w:tr>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Planning of changes</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Does not exist</w:t>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Clause 6.3</w:t>
            </w:r>
          </w:p>
        </w:tc>
        <w:tc>
          <w:tcPr>
            <w:tcW w:type="dxa" w:w="252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No 27003 guidance exists for this clause at all. You are working without a net.</w:t>
            </w:r>
          </w:p>
        </w:tc>
      </w:tr>
      <w:tr>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Clause 10 ordering</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10.1 Nonconformity and corrective action; 10.2 Continual improvement</w:t>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10.1 Continual improvement; 10.2 Nonconformity and corrective action</w:t>
            </w:r>
          </w:p>
        </w:tc>
        <w:tc>
          <w:tcPr>
            <w:tcW w:type="dxa" w:w="252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The two subclauses are transposed. Substance is unchanged, but every cross-reference from 27003 to "10.1" or "10.2" points at the wrong number.</w:t>
            </w:r>
          </w:p>
        </w:tc>
      </w:tr>
      <w:tr>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Communication</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Five determinations, including who communicates and the processes driving communication</w:t>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Four determinations: on what, when, with whom, how</w:t>
            </w:r>
          </w:p>
        </w:tc>
        <w:tc>
          <w:tcPr>
            <w:tcW w:type="dxa" w:w="252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The 2022 clause is shorter. Keeping the extra two is harmless and better practice - this kit keeps both in the Communication Plan.</w:t>
            </w:r>
          </w:p>
        </w:tc>
      </w:tr>
      <w:tr>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Annex A</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114 controls in 14 clauses; guidance and examples use the old numbering</w:t>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93 controls in 4 themes, with 11 new controls</w:t>
            </w:r>
          </w:p>
        </w:tc>
        <w:tc>
          <w:tcPr>
            <w:tcW w:type="dxa" w:w="252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Every Annex A reference in 27003 - including the worked examples at 6.1.3 - uses obsolete control numbers. Use ISO/IEC 27002:2022 for control guidance.</w:t>
            </w:r>
          </w:p>
        </w:tc>
      </w:tr>
    </w:tbl>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Flag this before your auditor does. Citing 27003 as though it were current occasionally gets caught by an auditor who knows the vintage, and being the person who raised it first is a considerably better position than being the person who was corrected.</w:t>
      </w:r>
    </w:p>
    <w:p>
      <w:pPr>
        <w:spacing w:after="120" w:line="264"/>
      </w:pPr>
      <w:r>
        <w:rPr>
          <w:rFonts w:ascii="Inter" w:cs="Inter" w:eastAsia="Inter" w:hAnsi="Inter"/>
          <w:b/>
          <w:bCs/>
          <w:i w:val="false"/>
          <w:iCs w:val="false"/>
          <w:color w:val="000000"/>
          <w:sz w:val="21"/>
          <w:szCs w:val="21"/>
        </w:rPr>
        <w:t xml:space="preserve">All four gaps are now closed. </w:t>
      </w:r>
      <w:r>
        <w:rPr>
          <w:rFonts w:ascii="Inter" w:cs="Inter" w:eastAsia="Inter" w:hAnsi="Inter"/>
          <w:b w:val="false"/>
          <w:bCs w:val="false"/>
          <w:i w:val="false"/>
          <w:iCs w:val="false"/>
          <w:color w:val="000000"/>
          <w:sz w:val="21"/>
          <w:szCs w:val="21"/>
        </w:rPr>
        <w:t xml:space="preserve">The Current Standard Supplement provides guidance, in the shape 27003 uses, for Clause 6.3, for the climate change amendment, for the eleven new Annex A controls, and for the ISO/IEC 27002:2022 attribute scheme - plus a translation table for reading 27003 against the 2022 clause numbering. Where this matrix says 27003 has no coverage, the supplement is where the coverage now comes from.</w:t>
      </w:r>
    </w:p>
    <w:p>
      <w:pPr>
        <w:spacing w:after="120" w:line="264"/>
      </w:pPr>
      <w:r>
        <w:rPr>
          <w:rFonts w:ascii="Inter" w:cs="Inter" w:eastAsia="Inter" w:hAnsi="Inter"/>
          <w:b w:val="false"/>
          <w:bCs w:val="false"/>
          <w:i w:val="false"/>
          <w:iCs w:val="false"/>
          <w:color w:val="000000"/>
          <w:sz w:val="21"/>
          <w:szCs w:val="21"/>
        </w:rPr>
        <w:t xml:space="preserve">The third edition of ISO/IEC 27003 is in development and is expected around 2027. When it publishes, this matrix should be re-derived from it and most of the supplement becomes redundant.</w:t>
      </w:r>
    </w:p>
    <w:p>
      <w:pPr>
        <w:pStyle w:val="Heading3"/>
        <w:spacing w:after="90" w:before="200"/>
      </w:pPr>
      <w:r>
        <w:rPr>
          <w:rFonts w:ascii="Inter" w:cs="Inter" w:eastAsia="Inter" w:hAnsi="Inter"/>
          <w:b/>
          <w:bCs/>
          <w:i w:val="false"/>
          <w:iCs w:val="false"/>
          <w:color w:val="000000"/>
          <w:sz w:val="21"/>
          <w:szCs w:val="21"/>
        </w:rPr>
        <w:t xml:space="preserve">27003 is guidance, not requirements</w:t>
      </w:r>
    </w:p>
    <w:p>
      <w:pPr>
        <w:spacing w:after="120" w:line="264"/>
      </w:pPr>
      <w:r>
        <w:rPr>
          <w:rFonts w:ascii="Inter" w:cs="Inter" w:eastAsia="Inter" w:hAnsi="Inter"/>
          <w:b w:val="false"/>
          <w:bCs w:val="false"/>
          <w:i w:val="false"/>
          <w:iCs w:val="false"/>
          <w:color w:val="000000"/>
          <w:sz w:val="21"/>
          <w:szCs w:val="21"/>
        </w:rPr>
        <w:t>Nothing in 27003 can be audited against. "27003 says we should" is not a reason to build something you do not need, and "27003 does not mention it" is not a reason to omit something 27001 requires. Its value is that it tells you what a competent implementation looks like and what documented information tends to be needed in practice.</w:t>
      </w:r>
    </w:p>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2. Method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Each subclause of ISO/IEC 27003:2017 Clauses 4 to 10 was read, and its "Required activity" and "Guidance" blocks reduced to the artefacts and behaviours the guidance expects an implementer to produce.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The kit was searched for the artefact carrying each one.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 verdict was assigned: Delivered, Partial, or Gap.</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Every Partial and Gap was fixed in the kit or recorded in section 6 as a deliberate omission with a reason.</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ISO/IEC 27004:2016 was then read in full and applied to the Clause 9.1 material, which was rebuilt around its measurement model.</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Annex A of 27003 (Policy framework) was applied to the topic policy pack, which was restructured to its ten-part arrangement.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The kit was rebuilt, formulas recalculated, and the whole document set re-checked for verbatim overlap against the source standards.</w:t>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3. Summary of verdicts</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2347"/>
        <w:gridCol w:w="903"/>
        <w:gridCol w:w="5777"/>
      </w:tblGrid>
      <w:tr>
        <w:trPr>
          <w:tblHeader/>
        </w:trPr>
        <w:tc>
          <w:tcPr>
            <w:tcW w:type="dxa" w:w="2347"/>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Verdict</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Count</w:t>
            </w:r>
          </w:p>
        </w:tc>
        <w:tc>
          <w:tcPr>
            <w:tcW w:type="dxa" w:w="5777"/>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Meaning</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Delivered</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24</w:t>
            </w:r>
          </w:p>
        </w:tc>
        <w:tc>
          <w:tcPr>
            <w:tcW w:type="dxa" w:w="577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The kit carries the activity with enough structure that filling it in produces something auditable.</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Improved in this revision</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13</w:t>
            </w:r>
          </w:p>
        </w:tc>
        <w:tc>
          <w:tcPr>
            <w:tcW w:type="dxa" w:w="577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Already present, but sharpened by something specific in 27003 or 27004.</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Gap fixed in this revision</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3</w:t>
            </w:r>
          </w:p>
        </w:tc>
        <w:tc>
          <w:tcPr>
            <w:tcW w:type="dxa" w:w="577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Nothing in the kit addressed it until now.</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Deliberate omission</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4</w:t>
            </w:r>
          </w:p>
        </w:tc>
        <w:tc>
          <w:tcPr>
            <w:tcW w:type="dxa" w:w="577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Considered and left out, with reasons in section 6.</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Filled by supplement</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4</w:t>
            </w:r>
          </w:p>
        </w:tc>
        <w:tc>
          <w:tcPr>
            <w:tcW w:type="dxa" w:w="577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Outside the reach of 27003:2017. Covered by the Current Standard Supplement instead.</w:t>
            </w:r>
          </w:p>
        </w:tc>
      </w:tr>
    </w:tbl>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4. Conformance matrix</w:t>
      </w:r>
    </w:p>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Column two paraphrases the required activity and the documented information the 27003 guidance expects; it is not quoted text. Column one gives the subclause so it can be checked against the standard. Tab numbers refer to the current workbook, which has 27 tabs.</w:t>
      </w:r>
    </w:p>
    <w:p>
      <w:pPr>
        <w:pStyle w:val="Heading2"/>
        <w:spacing w:after="110" w:before="260"/>
      </w:pPr>
      <w:r>
        <w:rPr>
          <w:rFonts w:ascii="Inter" w:cs="Inter" w:eastAsia="Inter" w:hAnsi="Inter"/>
          <w:b/>
          <w:bCs/>
          <w:i w:val="false"/>
          <w:iCs w:val="false"/>
          <w:color w:val="595959"/>
          <w:sz w:val="24"/>
          <w:szCs w:val="24"/>
        </w:rPr>
        <w:t xml:space="preserve">Clause 4 - Context of the organization</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812"/>
        <w:gridCol w:w="3701"/>
        <w:gridCol w:w="3430"/>
        <w:gridCol w:w="1083"/>
      </w:tblGrid>
      <w:tr>
        <w:trPr>
          <w:tblHeader/>
        </w:trPr>
        <w:tc>
          <w:tcPr>
            <w:tcW w:type="dxa" w:w="81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27003 ref</w:t>
            </w:r>
          </w:p>
        </w:tc>
        <w:tc>
          <w:tcPr>
            <w:tcW w:type="dxa" w:w="3701"/>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What the guidance expects to exist</w:t>
            </w:r>
          </w:p>
        </w:tc>
        <w:tc>
          <w:tcPr>
            <w:tcW w:type="dxa" w:w="3430"/>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Where the kit delivers it</w:t>
            </w:r>
          </w:p>
        </w:tc>
        <w:tc>
          <w:tcPr>
            <w:tcW w:type="dxa" w:w="108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Verdict</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4.1</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External and internal issues determined and analysed continually. Results normally retained even though no document is mandated.</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Scope Document 3.2 and 3.3; workbook tab 02 row 4.1</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Delivered</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4.2</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Interested parties and their information-security-relevant requirements determined, and which of them the ISMS will address.</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Workbook tab 06; Scope Document section 4</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Delivered</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4.3</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Scope reached through a four-step approach: preliminary, refined, final, approved. Scope shaped by five named factors including support functions and outsourced functions.</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ADDED: Scope Document 1.1 (four-step table with who does each step) and 1.2 (the five factors)</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Improved</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4.3</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Documented scope covering organisational, ICT and physical scope, boundaries and interfaces.</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Scope Document sections 5 and 8 - all three dimensions with their interfaces</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Delivered</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4.4</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The ISMS established as a set of processes. 27003 gives no specific guidance here.</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Scope Document section 7: twelve ISMS processes with owner, inputs, outputs and downstream process</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Delivered</w:t>
            </w:r>
          </w:p>
        </w:tc>
      </w:tr>
    </w:tbl>
    <w:p>
      <w:pPr>
        <w:pStyle w:val="Heading2"/>
        <w:spacing w:after="110" w:before="260"/>
      </w:pPr>
      <w:r>
        <w:rPr>
          <w:rFonts w:ascii="Inter" w:cs="Inter" w:eastAsia="Inter" w:hAnsi="Inter"/>
          <w:b/>
          <w:bCs/>
          <w:i w:val="false"/>
          <w:iCs w:val="false"/>
          <w:color w:val="595959"/>
          <w:sz w:val="24"/>
          <w:szCs w:val="24"/>
        </w:rPr>
        <w:t xml:space="preserve">Clause 5 - Leadership</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812"/>
        <w:gridCol w:w="3701"/>
        <w:gridCol w:w="3430"/>
        <w:gridCol w:w="1083"/>
      </w:tblGrid>
      <w:tr>
        <w:trPr>
          <w:tblHeader/>
        </w:trPr>
        <w:tc>
          <w:tcPr>
            <w:tcW w:type="dxa" w:w="81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27003 ref</w:t>
            </w:r>
          </w:p>
        </w:tc>
        <w:tc>
          <w:tcPr>
            <w:tcW w:type="dxa" w:w="3701"/>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What the guidance expects to exist</w:t>
            </w:r>
          </w:p>
        </w:tc>
        <w:tc>
          <w:tcPr>
            <w:tcW w:type="dxa" w:w="3430"/>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Where the kit delivers it</w:t>
            </w:r>
          </w:p>
        </w:tc>
        <w:tc>
          <w:tcPr>
            <w:tcW w:type="dxa" w:w="108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Verdict</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5.1</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Eight demonstrations of leadership, including resources across four categories, and requesting and reviewing reports on ISMS status and effectiveness.</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Workbook tab 02 rows 5.1 a to 5.1 f-h; How to Use This Kit, session S1; Measurement Plan section 6 (measurement client)</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Delivered</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5.1</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Where the ISMS sits inside a larger organisation, working with the parent to secure support.</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Scope Document 5.1 organisational boundaries; How to Use This Kit, warning sign on absent leadership</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Delivered</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5.2</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Policy establishing strategic importance, available as documented information, directing security activity.</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Information Security Policy template</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Delivered</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5.3</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Responsibilities and authorities assigned and communicated, including reporting ISMS performance to top management.</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Workbook tab 11 RACI; Policy section 5; Scope Document section 9</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Delivered</w:t>
            </w:r>
          </w:p>
        </w:tc>
      </w:tr>
    </w:tbl>
    <w:p>
      <w:pPr>
        <w:pStyle w:val="Heading2"/>
        <w:spacing w:after="110" w:before="260"/>
      </w:pPr>
      <w:r>
        <w:rPr>
          <w:rFonts w:ascii="Inter" w:cs="Inter" w:eastAsia="Inter" w:hAnsi="Inter"/>
          <w:b/>
          <w:bCs/>
          <w:i w:val="false"/>
          <w:iCs w:val="false"/>
          <w:color w:val="595959"/>
          <w:sz w:val="24"/>
          <w:szCs w:val="24"/>
        </w:rPr>
        <w:t xml:space="preserve">Clause 6 - Planning</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812"/>
        <w:gridCol w:w="3701"/>
        <w:gridCol w:w="3430"/>
        <w:gridCol w:w="1083"/>
      </w:tblGrid>
      <w:tr>
        <w:trPr>
          <w:tblHeader/>
        </w:trPr>
        <w:tc>
          <w:tcPr>
            <w:tcW w:type="dxa" w:w="81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27003 ref</w:t>
            </w:r>
          </w:p>
        </w:tc>
        <w:tc>
          <w:tcPr>
            <w:tcW w:type="dxa" w:w="3701"/>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What the guidance expects to exist</w:t>
            </w:r>
          </w:p>
        </w:tc>
        <w:tc>
          <w:tcPr>
            <w:tcW w:type="dxa" w:w="3430"/>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Where the kit delivers it</w:t>
            </w:r>
          </w:p>
        </w:tc>
        <w:tc>
          <w:tcPr>
            <w:tcW w:type="dxa" w:w="108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Verdict</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6.1.1</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Risks and opportunities to the management system determined from the 4.1 issues and 4.2 requirements, actions planned, integrated into ISMS processes, and their effectiveness evaluated.</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Workbook tab 08, with source, effect on intended outcomes, the ISMS process the action integrates into, and how effectiveness will be evaluated</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Delivered</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6.1.2 a</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Risk acceptance criteria and criteria for performing assessments, including consequence and likelihood criteria and rules for determining the level of risk. Criteria approved by responsible management.</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Risk Management Methodology sections 5 and 6, with an explicit acceptance threshold field and approval block</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Delivered</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6.1.2 b</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Methods designed in enough detail that results are consistent, reproducible by a third party, and comparable between assessments.</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Methodology section 4.1 requires the approach to be stated and adhered to; workbook tab 09 enforces one scoring scheme</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Delivered</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6.1.2 c</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Two commonly used identification approaches: event-based, and asset / threat / vulnerability based. Others permitted if equally useful.</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IMPROVED: Methodology 4.1 now presents both with their weaknesses and requires you to state and stick to a choice</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Improved</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6.1.2 c</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Risk identification should not be too detailed in the first cycle; detail is refined in later iterations.</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ADDED: guidance note in Methodology section 4</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Improved</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6.1.2 d</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Qualitative, quantitative or semi-quantitative analysis; objectivity of the technique considered.</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Methodology 5.1 to 5.3 with defined scales and an inherent/residual distinction</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Delivered</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6.1.2 e</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Evaluation producing a list of risks in priority order, not merely a magnitude.</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Workbook tab 09 with rating bands and a status column; Methodology section 6</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Delivered</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6.1.3 a</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Five treatment options, including deliberately taking or increasing risk to pursue an opportunity.</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IMPROVED: Methodology 7.1 now lists all five. The fifth was previously missing</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Improved</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6.1.3 b</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Ability to demonstrate the relationship from each necessary control back to the risk assessment and treatment results. Controls needed at suppliers considered.</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ADDED: workbook tab 03 column L records the risk IDs each control treats, and a dashboard flag counts controls justified by risk assessment with no risk ID recorded</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Gap fixed</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6.1.3 c</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Annex A used as a completeness check; additional controls added as needed since Annex A is not exhaustive.</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Workbook tab 03 covers all 93 controls</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Delivered</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6.1.3 d</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SoA containing all necessary controls with justification for inclusion, implementation status, and justification for every exclusion. Additional non-Annex-A controls included.</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ADDED: rows CC-01 to CC-10 on tab 03 for custom controls. Previously the SoA covered only the 93</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Gap fixed</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6.1.3 d</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Three specific grounds for exclusion: not necessary for the chosen treatment option; outside the ISMS scope; obviated by a custom control.</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IMPROVED: tab 03 column M is now a dropdown of exactly those three, with a free-text detail column beside it</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Improved</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6.1.3 d</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Responsibility for operating each control, though not required by 27001, is noted as useful.</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Tab 03 control owner column</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Delivered</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6.1.3 e</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Treatment plan documenting, per treated risk, the selected options, necessary controls and implementation status; usefully also risk owners and expected residual risk.</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Workbook tab 10, all five present</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Delivered</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6.1.3 f</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Risk owner authorisation recorded, with the plan usefully extended by columns for control effectiveness, residual risk and the owner’s approval.</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IMPROVED: tab 10 gained control effectiveness and expected residual risk columns beside the existing acceptance columns</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Improved</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6.2</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Objectives at relevant functions and levels, consistent with policy, measurable if practicable, informed by risk results, communicated and updated.</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IMPROVED: tab 17 is now a dedicated objectives register with a function/level column and a derived-from column</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Improved</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6.2 f-j</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For each objective: what will be done, resources, responsibility, completion date, and how results will be evaluated.</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ADDED: tab 17 columns I to M are exactly those five, with a dashboard flag counting any left blank</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Improved</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6.2</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Objectives can be expressed as numerical limits, performance or effectiveness measurement targets, conformity with 27001 or with ISMS procedures, completion of actions, or risk criteria to be met.</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Tab 17 pre-populated with eight objectives spanning several of these forms</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Delivered</w:t>
            </w:r>
          </w:p>
        </w:tc>
      </w:tr>
    </w:tbl>
    <w:p>
      <w:pPr>
        <w:pStyle w:val="Heading2"/>
        <w:spacing w:after="110" w:before="260"/>
      </w:pPr>
      <w:r>
        <w:rPr>
          <w:rFonts w:ascii="Inter" w:cs="Inter" w:eastAsia="Inter" w:hAnsi="Inter"/>
          <w:b/>
          <w:bCs/>
          <w:i w:val="false"/>
          <w:iCs w:val="false"/>
          <w:color w:val="595959"/>
          <w:sz w:val="24"/>
          <w:szCs w:val="24"/>
        </w:rPr>
        <w:t xml:space="preserve">Clause 7 - Support</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812"/>
        <w:gridCol w:w="3701"/>
        <w:gridCol w:w="3430"/>
        <w:gridCol w:w="1083"/>
      </w:tblGrid>
      <w:tr>
        <w:trPr>
          <w:tblHeader/>
        </w:trPr>
        <w:tc>
          <w:tcPr>
            <w:tcW w:type="dxa" w:w="81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27003 ref</w:t>
            </w:r>
          </w:p>
        </w:tc>
        <w:tc>
          <w:tcPr>
            <w:tcW w:type="dxa" w:w="3701"/>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What the guidance expects to exist</w:t>
            </w:r>
          </w:p>
        </w:tc>
        <w:tc>
          <w:tcPr>
            <w:tcW w:type="dxa" w:w="3430"/>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Where the kit delivers it</w:t>
            </w:r>
          </w:p>
        </w:tc>
        <w:tc>
          <w:tcPr>
            <w:tcW w:type="dxa" w:w="108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Verdict</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7.1</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Resources estimated, acquired, provided, maintained and reviewed against need. Five categories: people, time, financial, information, infrastructure.</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Workbook tab 02 row 7.1; Management Review section 4.4; measure M-03 tracks allocation against use</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Delivered</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7.2 a-b</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Expected competence determined for each ISMS role, and roles assigned to people who have it, obtain it, or are engaged for it.</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Workbook tab 12, fourteen roles pre-populated with responsibilities and required competence</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Delivered</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7.2 c</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The effectiveness of the actions taken to acquire competence must itself be evaluated - not merely that training happened.</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ADDED: tab 12 column K records how effectiveness was verified</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Improved</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7.3</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Awareness programme with messages tailored per audience, delivered on a plan, with knowledge verified at the end of sessions and at random between them, and behaviour verified against the messages.</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HR Security Policy; Communication Plan; measures M-04 (completion) and M-05 (behaviour)</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Delivered</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7.4</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Content, timing, audience, initiator and driving processes determined; who may communicate externally; pre-approved messages; recipient lists; channels; and a method to confirm messages were received and understood.</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ADDED: tab 13 gained a column for how receipt and understanding are confirmed. The other elements were already present</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Improved</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7.5.1</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Documented information beyond the mandatory minimum, determined by the organisation. 27003 lists eleven categories including context results, roles, risk reports, resources, competence, awareness and communication plans and results, external documents, and process evidence.</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Workbook tab 05, 46 pre-populated rows covering every category on that list</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Delivered</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7.5.2</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 structured library with a defined framework, standard structure, templates, and defined preparation, approval and publication responsibilities. Common identification attributes on every document.</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Every template carries an identification block; tab 05 carries the register. Duplication avoided by cross-referencing</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Delivered</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7.5.3</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Classification of all documented information; change control; distribution to defined interested parties; retention periods; legibility through the retention period; and a decision on what happens after retention expires. External-origin documents managed too.</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ADDED: tab 05 gained a disposition-after-retention column. Classification, distribution, retention and external-origin rows were already present</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Improved</w:t>
            </w:r>
          </w:p>
        </w:tc>
      </w:tr>
    </w:tbl>
    <w:p>
      <w:pPr>
        <w:pStyle w:val="Heading2"/>
        <w:spacing w:after="110" w:before="260"/>
      </w:pPr>
      <w:r>
        <w:rPr>
          <w:rFonts w:ascii="Inter" w:cs="Inter" w:eastAsia="Inter" w:hAnsi="Inter"/>
          <w:b/>
          <w:bCs/>
          <w:i w:val="false"/>
          <w:iCs w:val="false"/>
          <w:color w:val="595959"/>
          <w:sz w:val="24"/>
          <w:szCs w:val="24"/>
        </w:rPr>
        <w:t xml:space="preserve">Clause 8 - Operation</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812"/>
        <w:gridCol w:w="3701"/>
        <w:gridCol w:w="3430"/>
        <w:gridCol w:w="1083"/>
      </w:tblGrid>
      <w:tr>
        <w:trPr>
          <w:tblHeader/>
        </w:trPr>
        <w:tc>
          <w:tcPr>
            <w:tcW w:type="dxa" w:w="81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27003 ref</w:t>
            </w:r>
          </w:p>
        </w:tc>
        <w:tc>
          <w:tcPr>
            <w:tcW w:type="dxa" w:w="3701"/>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What the guidance expects to exist</w:t>
            </w:r>
          </w:p>
        </w:tc>
        <w:tc>
          <w:tcPr>
            <w:tcW w:type="dxa" w:w="3430"/>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Where the kit delivers it</w:t>
            </w:r>
          </w:p>
        </w:tc>
        <w:tc>
          <w:tcPr>
            <w:tcW w:type="dxa" w:w="108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Verdict</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8.1</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ISMS processes and risk-treatment-plan processes planned, implemented and controlled; outsourced processes determined and controlled with assurance they operate as intended.</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Workbook tab 02 row 8.1; Supplier policy; tab 05 operating procedure rows</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Delivered</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8.2</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 plan for scheduled assessments, plus determination of which changes or incidents trigger an additional assessment and how. A broad assessment at least annually.</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Methodology section 3 trigger table, with an annual full reassessment</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Delivered</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8.3</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Treatment performed after each assessment iteration or when implementation of the plan fails; progress driven and monitored.</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Workbook tab 10 with status and completion evidence; measure M-06 tracks delivery against target date</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Delivered</w:t>
            </w:r>
          </w:p>
        </w:tc>
      </w:tr>
    </w:tbl>
    <w:p>
      <w:pPr>
        <w:pStyle w:val="Heading2"/>
        <w:spacing w:after="110" w:before="260"/>
      </w:pPr>
      <w:r>
        <w:rPr>
          <w:rFonts w:ascii="Inter" w:cs="Inter" w:eastAsia="Inter" w:hAnsi="Inter"/>
          <w:b/>
          <w:bCs/>
          <w:i w:val="false"/>
          <w:iCs w:val="false"/>
          <w:color w:val="595959"/>
          <w:sz w:val="24"/>
          <w:szCs w:val="24"/>
        </w:rPr>
        <w:t xml:space="preserve">Clause 9 - Performance evaluation</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812"/>
        <w:gridCol w:w="3701"/>
        <w:gridCol w:w="3430"/>
        <w:gridCol w:w="1083"/>
      </w:tblGrid>
      <w:tr>
        <w:trPr>
          <w:tblHeader/>
        </w:trPr>
        <w:tc>
          <w:tcPr>
            <w:tcW w:type="dxa" w:w="81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27003 ref</w:t>
            </w:r>
          </w:p>
        </w:tc>
        <w:tc>
          <w:tcPr>
            <w:tcW w:type="dxa" w:w="3701"/>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What the guidance expects to exist</w:t>
            </w:r>
          </w:p>
        </w:tc>
        <w:tc>
          <w:tcPr>
            <w:tcW w:type="dxa" w:w="3430"/>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Where the kit delivers it</w:t>
            </w:r>
          </w:p>
        </w:tc>
        <w:tc>
          <w:tcPr>
            <w:tcW w:type="dxa" w:w="108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Verdict</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9.1</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What to monitor and measure, who and when, and methods producing valid results; who analyses and evaluates and when.</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Workbook tab 18 with separate collect and report frequencies and three named roles per measure</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Delivered</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9.1</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Two distinct evaluations: information security performance, and ISMS effectiveness.</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IMPROVED: tab 18 has a Type column marking each measure as performance or effectiveness, plus a dashboard flag counting effectiveness measures in use</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Improved</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9.1</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The information need defined first, before attributes are chosen. Care taken not to measure too many or the wrong attributes.</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ADDED: information need is the second column of tab 18 and the first thing filled in; Measurement Plan section 3 explains why</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Improved</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9.1</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Distinctive measurement roles assignable per 27004 6.5.</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ADDED: Measurement Plan section 6 assigns all seven; tab 18 names owner, collector and client per measure</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Improved</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9.2</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An audit programme covering structure, responsibilities, types, duration, locations, schedule, criteria, methods, team selection, confidentiality and auditor welfare provisions; coverage of the whole ISMS within a stated time frame; effectiveness of selected controls evaluated over time; risk-based frequency.</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ADDED: Internal Audit template Part 1 now carries the full programme content checklist and the risk-based frequency guidance</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Improved</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9.2</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Auditor competence requirements identified, auditors selected and monitored, internal versus external trade-offs recognised.</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Internal Audit template competence and independence table</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Delivered</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9.2</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Eight specific things the audit team should review, including consistency of the SoA against the risk treatment outcome and of the treatment plan against assessed risks and acceptance criteria.</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ADDED: Internal Audit template Part 2 now carries all eight as a coverage checklist</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Gap fixed</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9.2</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The organisation's own requirements defined as policy and procedures, the objectives framework including risk treatment outcomes, legal and contractual requirements, and requirements on documented information.</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ADDED: stated explicitly in the Internal Audit template as audit criteria</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Improved</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9.2</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 follow-up action plan per nonconformity, agreed with the audit team leader, containing the nonconformity, its causes, short-term correction and longer-term corrective action, and who is responsible.</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ADDED: Internal Audit template section 6; the Nonconformity template already separated correction from corrective action</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Improved</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9.3</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Review of continuing suitability, adequacy and effectiveness, with those three terms distinguished.</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Management Review template section 4.1 asks the question in those terms</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Delivered</w:t>
            </w:r>
          </w:p>
        </w:tc>
      </w:tr>
    </w:tbl>
    <w:p>
      <w:pPr>
        <w:pStyle w:val="Heading2"/>
        <w:spacing w:after="110" w:before="260"/>
      </w:pPr>
      <w:r>
        <w:rPr>
          <w:rFonts w:ascii="Inter" w:cs="Inter" w:eastAsia="Inter" w:hAnsi="Inter"/>
          <w:b/>
          <w:bCs/>
          <w:i w:val="false"/>
          <w:iCs w:val="false"/>
          <w:color w:val="595959"/>
          <w:sz w:val="24"/>
          <w:szCs w:val="24"/>
        </w:rPr>
        <w:t xml:space="preserve">Clause 10 - Improvement (numbering per 27003:2017; transposed in 27001:2022)</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812"/>
        <w:gridCol w:w="3701"/>
        <w:gridCol w:w="3430"/>
        <w:gridCol w:w="1083"/>
      </w:tblGrid>
      <w:tr>
        <w:trPr>
          <w:tblHeader/>
        </w:trPr>
        <w:tc>
          <w:tcPr>
            <w:tcW w:type="dxa" w:w="81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27003 ref</w:t>
            </w:r>
          </w:p>
        </w:tc>
        <w:tc>
          <w:tcPr>
            <w:tcW w:type="dxa" w:w="3701"/>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What the guidance expects to exist</w:t>
            </w:r>
          </w:p>
        </w:tc>
        <w:tc>
          <w:tcPr>
            <w:tcW w:type="dxa" w:w="3430"/>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Where the kit delivers it</w:t>
            </w:r>
          </w:p>
        </w:tc>
        <w:tc>
          <w:tcPr>
            <w:tcW w:type="dxa" w:w="108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Verdict</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10.1</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React to nonconformities, evaluate them, take corrections and corrective actions. Several types of nonconformity distinguished.</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Nonconformity template with separate correction, root cause, extent-of-condition and effectiveness sections; workbook tab 16</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Delivered</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10.1</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No explicit preventive action requirement, because 4.1 and 6.1 together are intended to cover it.</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Workbook tab 08 is the practical expression of this; explained in How to Use This Kit</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Delivered</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10.2</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Continual improvement assessed across suitability, adequacy and effectiveness, each defined; efficiency optionally considered; opportunities evaluated, changes determined, actions planned and their effectiveness evaluated as a subset of 6.1.1.</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Management Review section 4; improvement items flow to workbook tab 08 so their effectiveness is evaluated</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Delivered</w:t>
            </w:r>
          </w:p>
        </w:tc>
      </w:tr>
    </w:tbl>
    <w:p>
      <w:pPr>
        <w:pStyle w:val="Heading2"/>
        <w:spacing w:after="110" w:before="260"/>
      </w:pPr>
      <w:r>
        <w:rPr>
          <w:rFonts w:ascii="Inter" w:cs="Inter" w:eastAsia="Inter" w:hAnsi="Inter"/>
          <w:b/>
          <w:bCs/>
          <w:i w:val="false"/>
          <w:iCs w:val="false"/>
          <w:color w:val="595959"/>
          <w:sz w:val="24"/>
          <w:szCs w:val="24"/>
        </w:rPr>
        <w:t xml:space="preserve">Annex A of ISO/IEC 27001:2022 - the control set</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812"/>
        <w:gridCol w:w="3701"/>
        <w:gridCol w:w="3430"/>
        <w:gridCol w:w="1083"/>
      </w:tblGrid>
      <w:tr>
        <w:trPr>
          <w:tblHeader/>
        </w:trPr>
        <w:tc>
          <w:tcPr>
            <w:tcW w:type="dxa" w:w="81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27003 ref</w:t>
            </w:r>
          </w:p>
        </w:tc>
        <w:tc>
          <w:tcPr>
            <w:tcW w:type="dxa" w:w="3701"/>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What the guidance expects to exist</w:t>
            </w:r>
          </w:p>
        </w:tc>
        <w:tc>
          <w:tcPr>
            <w:tcW w:type="dxa" w:w="3430"/>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Where the kit delivers it</w:t>
            </w:r>
          </w:p>
        </w:tc>
        <w:tc>
          <w:tcPr>
            <w:tcW w:type="dxa" w:w="108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Verdict</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Eleven controls are new in the 2022 revision. 27003:2017 has no coverage of any of them, and its worked examples use 2013 control numbers throughout.</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ADDED: Supplement section 5 covers all eleven - why each appeared, where implementations go wrong, and what evidence satisfies an auditor</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Filled by supplement</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ISO/IEC 27002:2022 introduced five control attributes. The scheme postdates 27003 entirely.</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ADDED: workbook tab 03 columns D to G carry four of the five; Supplement section 6 explains all five and how to use them</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Filled by supplement</w:t>
            </w:r>
          </w:p>
        </w:tc>
      </w:tr>
    </w:tbl>
    <w:p>
      <w:pPr>
        <w:pStyle w:val="Heading2"/>
        <w:spacing w:after="110" w:before="260"/>
      </w:pPr>
      <w:r>
        <w:rPr>
          <w:rFonts w:ascii="Inter" w:cs="Inter" w:eastAsia="Inter" w:hAnsi="Inter"/>
          <w:b/>
          <w:bCs/>
          <w:i w:val="false"/>
          <w:iCs w:val="false"/>
          <w:color w:val="595959"/>
          <w:sz w:val="24"/>
          <w:szCs w:val="24"/>
        </w:rPr>
        <w:t xml:space="preserve">Annex A of ISO/IEC 27003 - Policy framework</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812"/>
        <w:gridCol w:w="3701"/>
        <w:gridCol w:w="3430"/>
        <w:gridCol w:w="1083"/>
      </w:tblGrid>
      <w:tr>
        <w:trPr>
          <w:tblHeader/>
        </w:trPr>
        <w:tc>
          <w:tcPr>
            <w:tcW w:type="dxa" w:w="81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27003 ref</w:t>
            </w:r>
          </w:p>
        </w:tc>
        <w:tc>
          <w:tcPr>
            <w:tcW w:type="dxa" w:w="3701"/>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What the guidance expects to exist</w:t>
            </w:r>
          </w:p>
        </w:tc>
        <w:tc>
          <w:tcPr>
            <w:tcW w:type="dxa" w:w="3430"/>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Where the kit delivers it</w:t>
            </w:r>
          </w:p>
        </w:tc>
        <w:tc>
          <w:tcPr>
            <w:tcW w:type="dxa" w:w="108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Verdict</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Annex A</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 policy hierarchy in which the information security policy sits under any general organisational policy and is supported by topic-specific policies.</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Information Security Policy section 6 lists the twelve topic policies beneath it</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Delivered</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Annex A</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Six inputs to be considered when developing any policy: organisational aims and objectives, strategies, structure and processes, aims for the policy topic, requirements of higher-level policies, and the target group.</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ADDED: guidance box at the front of the Policy Pack</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Improved</w:t>
            </w:r>
          </w:p>
        </w:tc>
      </w:tr>
      <w:tr>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Annex A</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 ten-part policy structure: administrative, summary, introduction, scope, objectives, principles, responsibilities, key outcomes, related policies, policy requirements.</w:t>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RESTRUCTURED: all twelve topic policies now follow this structure exactly. Summary, objectives, principles, key outcomes and related policies were previously absent</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Gap fixed</w:t>
            </w:r>
          </w:p>
        </w:tc>
      </w:tr>
    </w:tbl>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5. ISO/IEC 27004 alignment</w:t>
      </w:r>
    </w:p>
    <w:p>
      <w:pPr>
        <w:spacing w:after="120" w:line="264"/>
      </w:pPr>
      <w:r>
        <w:rPr>
          <w:rFonts w:ascii="Inter" w:cs="Inter" w:eastAsia="Inter" w:hAnsi="Inter"/>
          <w:b w:val="false"/>
          <w:bCs w:val="false"/>
          <w:i w:val="false"/>
          <w:iCs w:val="false"/>
          <w:color w:val="000000"/>
          <w:sz w:val="21"/>
          <w:szCs w:val="21"/>
        </w:rPr>
        <w:t xml:space="preserve">27004 exists to support one clause - 9.1 - and the kit’s treatment of that clause was rebuilt around it.</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993"/>
        <w:gridCol w:w="4062"/>
        <w:gridCol w:w="3971"/>
      </w:tblGrid>
      <w:tr>
        <w:trPr>
          <w:tblHeader/>
        </w:trPr>
        <w:tc>
          <w:tcPr>
            <w:tcW w:type="dxa" w:w="99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27004 ref</w:t>
            </w:r>
          </w:p>
        </w:tc>
        <w:tc>
          <w:tcPr>
            <w:tcW w:type="dxa" w:w="406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What it provides</w:t>
            </w:r>
          </w:p>
        </w:tc>
        <w:tc>
          <w:tcPr>
            <w:tcW w:type="dxa" w:w="3971"/>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How the kit now uses it</w:t>
            </w:r>
          </w:p>
        </w:tc>
      </w:tr>
      <w:tr>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Annex A</w:t>
            </w:r>
          </w:p>
        </w:tc>
        <w:tc>
          <w:tcPr>
            <w:tcW w:type="dxa" w:w="406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The measurement information model from ISO/IEC 15939: information need, entity and attributes, base measures, measurement function, derived measure, analytical model, indicator, decision criteria, measurement result.</w:t>
            </w:r>
          </w:p>
        </w:tc>
        <w:tc>
          <w:tcPr>
            <w:tcW w:type="dxa" w:w="397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Measurement Plan section 3 sets out the whole chain with a single worked example carried through every step</w:t>
            </w:r>
          </w:p>
        </w:tc>
      </w:tr>
      <w:tr>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Table 1</w:t>
            </w:r>
          </w:p>
        </w:tc>
        <w:tc>
          <w:tcPr>
            <w:tcW w:type="dxa" w:w="406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Ten information descriptors for specifying a measure, plus an optional action descriptor.</w:t>
            </w:r>
          </w:p>
        </w:tc>
        <w:tc>
          <w:tcPr>
            <w:tcW w:type="dxa" w:w="397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Workbook tab 18 has a column for each, and the optional action descriptor is included as "Action if the target is not met"</w:t>
            </w:r>
          </w:p>
        </w:tc>
      </w:tr>
      <w:tr>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6.2, 6.3</w:t>
            </w:r>
          </w:p>
        </w:tc>
        <w:tc>
          <w:tcPr>
            <w:tcW w:type="dxa" w:w="406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What to monitor and what to measure, including four control attributes worth measuring - likelihood reduction, consequence reduction, events tolerated before failure, and time to detect.</w:t>
            </w:r>
          </w:p>
        </w:tc>
        <w:tc>
          <w:tcPr>
            <w:tcW w:type="dxa" w:w="397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Measurement Plan section 4, with the time-to-detect attribute called out as the most useful and least used</w:t>
            </w:r>
          </w:p>
        </w:tc>
      </w:tr>
      <w:tr>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6.4</w:t>
            </w:r>
          </w:p>
        </w:tc>
        <w:tc>
          <w:tcPr>
            <w:tcW w:type="dxa" w:w="406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Timing: collection and reporting frequencies differ; enough data must accumulate; fine-tuning needs a time limit; a baseline is required for comparison.</w:t>
            </w:r>
          </w:p>
        </w:tc>
        <w:tc>
          <w:tcPr>
            <w:tcW w:type="dxa" w:w="397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Measurement Plan section 5; tab 18 has separate collect and report frequency columns and a baseline column</w:t>
            </w:r>
          </w:p>
        </w:tc>
      </w:tr>
      <w:tr>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6.5</w:t>
            </w:r>
          </w:p>
        </w:tc>
        <w:tc>
          <w:tcPr>
            <w:tcW w:type="dxa" w:w="406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Seven measurement roles.</w:t>
            </w:r>
          </w:p>
        </w:tc>
        <w:tc>
          <w:tcPr>
            <w:tcW w:type="dxa" w:w="397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Measurement Plan section 6 assigns all seven</w:t>
            </w:r>
          </w:p>
        </w:tc>
      </w:tr>
      <w:tr>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7.2, 7.3</w:t>
            </w:r>
          </w:p>
        </w:tc>
        <w:tc>
          <w:tcPr>
            <w:tcW w:type="dxa" w:w="406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Performance measures versus effectiveness measures, and the advice to implement performance measures first.</w:t>
            </w:r>
          </w:p>
        </w:tc>
        <w:tc>
          <w:tcPr>
            <w:tcW w:type="dxa" w:w="397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Measurement Plan section 2; tab 18 Type column; dashboard flag on effectiveness measure count</w:t>
            </w:r>
          </w:p>
        </w:tc>
      </w:tr>
      <w:tr>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8.2 to 8.9</w:t>
            </w:r>
          </w:p>
        </w:tc>
        <w:tc>
          <w:tcPr>
            <w:tcW w:type="dxa" w:w="406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The eight-step measurement process from identifying information needs through to retaining and communicating results.</w:t>
            </w:r>
          </w:p>
        </w:tc>
        <w:tc>
          <w:tcPr>
            <w:tcW w:type="dxa" w:w="397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Measurement Plan section 9 as an eight-row table with outputs</w:t>
            </w:r>
          </w:p>
        </w:tc>
      </w:tr>
      <w:tr>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8.3.3</w:t>
            </w:r>
          </w:p>
        </w:tc>
        <w:tc>
          <w:tcPr>
            <w:tcW w:type="dxa" w:w="406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Seven selection criteria for choosing which measures to keep, and the warning that the easiest thing to measure need not be meaningful.</w:t>
            </w:r>
          </w:p>
        </w:tc>
        <w:tc>
          <w:tcPr>
            <w:tcW w:type="dxa" w:w="397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Measurement Plan section 8</w:t>
            </w:r>
          </w:p>
        </w:tc>
      </w:tr>
      <w:tr>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8.3.3</w:t>
            </w:r>
          </w:p>
        </w:tc>
        <w:tc>
          <w:tcPr>
            <w:tcW w:type="dxa" w:w="406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The caution that targets set from past performance can perpetuate the status quo or impede improvement.</w:t>
            </w:r>
          </w:p>
        </w:tc>
        <w:tc>
          <w:tcPr>
            <w:tcW w:type="dxa" w:w="397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Measurement Plan section 8.1</w:t>
            </w:r>
          </w:p>
        </w:tc>
      </w:tr>
      <w:tr>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8.3.5</w:t>
            </w:r>
          </w:p>
        </w:tc>
        <w:tc>
          <w:tcPr>
            <w:tcW w:type="dxa" w:w="406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Management at different levels involved in developing measures and updated regularly in suitable formats.</w:t>
            </w:r>
          </w:p>
        </w:tc>
        <w:tc>
          <w:tcPr>
            <w:tcW w:type="dxa" w:w="397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Measurement Plan section 10; tab 18 names a measurement client per measure</w:t>
            </w:r>
          </w:p>
        </w:tc>
      </w:tr>
    </w:tbl>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The single most useful thing 27004 gives you is permission to say no to metrics. Its warning that measuring too many attributes is impracticable, costly and counterproductive, and can obscure the issues that matter, is worth quoting directly to anyone who wants forty KPIs on a dashboard.</w:t>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6. Deliberate omissions</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3069"/>
        <w:gridCol w:w="5957"/>
      </w:tblGrid>
      <w:tr>
        <w:trPr>
          <w:tblHeader/>
        </w:trPr>
        <w:tc>
          <w:tcPr>
            <w:tcW w:type="dxa" w:w="3069"/>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Not included</w:t>
            </w:r>
          </w:p>
        </w:tc>
        <w:tc>
          <w:tcPr>
            <w:tcW w:type="dxa" w:w="5957"/>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Reason</w:t>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The full ISO/IEC 27004 Annex B catalogue of measurement construct examples</w:t>
            </w:r>
          </w:p>
        </w:tc>
        <w:tc>
          <w:tcPr>
            <w:tcW w:type="dxa" w:w="595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Thirty-five worked constructs mapped to 27001:2013 control numbers. They are useful reading but reproducing them would be a copyright problem, and the numbering is obsolete. The kit ships fifteen constructs written for this kit and mapped to 2022 references instead.</w:t>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The free-text measurement construction form from 27004 Annex C</w:t>
            </w:r>
          </w:p>
        </w:tc>
        <w:tc>
          <w:tcPr>
            <w:tcW w:type="dxa" w:w="595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An alternative to the tabular form. The tabular form is better suited to a workbook and to comparison across measures. Worth considering if you find tables oppressive.</w:t>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 separate documented procedure for control of documented information</w:t>
            </w:r>
          </w:p>
        </w:tc>
        <w:tc>
          <w:tcPr>
            <w:tcW w:type="dxa" w:w="595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The Document Register plus the identification block on every template carries the substance. 27003 treats a documented procedure here as optional. Add one if you are in a regulated sector that expects it.</w:t>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Quantitative or semi-quantitative risk analysis worked through in the methodology</w:t>
            </w:r>
          </w:p>
        </w:tc>
        <w:tc>
          <w:tcPr>
            <w:tcW w:type="dxa" w:w="595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27003 permits all three approaches. The kit ships qualitative 1-5 scales because that is what the overwhelming majority of first certifications use. The methodology states that quantitative and semi-quantitative are equally valid, so the door is open.</w:t>
            </w:r>
          </w:p>
        </w:tc>
      </w:tr>
    </w:tbl>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7. What changed in this revision</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451"/>
        <w:gridCol w:w="5596"/>
        <w:gridCol w:w="2979"/>
      </w:tblGrid>
      <w:tr>
        <w:trPr>
          <w:tblHeader/>
        </w:trPr>
        <w:tc>
          <w:tcPr>
            <w:tcW w:type="dxa" w:w="451"/>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t>
            </w:r>
          </w:p>
        </w:tc>
        <w:tc>
          <w:tcPr>
            <w:tcW w:type="dxa" w:w="5596"/>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Change</w:t>
            </w:r>
          </w:p>
        </w:tc>
        <w:tc>
          <w:tcPr>
            <w:tcW w:type="dxa" w:w="2979"/>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Driven by</w:t>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w:t>
            </w:r>
          </w:p>
        </w:tc>
        <w:tc>
          <w:tcPr>
            <w:tcW w:type="dxa" w:w="559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SoA gained control-to-risk traceability (risk IDs per control) and a dashboard flag policing it</w:t>
            </w:r>
          </w:p>
        </w:tc>
        <w:tc>
          <w:tcPr>
            <w:tcW w:type="dxa" w:w="297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27003 6.1.3 b)</w:t>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2</w:t>
            </w:r>
          </w:p>
        </w:tc>
        <w:tc>
          <w:tcPr>
            <w:tcW w:type="dxa" w:w="559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SoA exclusion reasons became a dropdown of the three grounds the guidance recognises</w:t>
            </w:r>
          </w:p>
        </w:tc>
        <w:tc>
          <w:tcPr>
            <w:tcW w:type="dxa" w:w="297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27003 6.1.3 d)</w:t>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3</w:t>
            </w:r>
          </w:p>
        </w:tc>
        <w:tc>
          <w:tcPr>
            <w:tcW w:type="dxa" w:w="559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SoA gained ten rows for custom controls outside Annex A</w:t>
            </w:r>
          </w:p>
        </w:tc>
        <w:tc>
          <w:tcPr>
            <w:tcW w:type="dxa" w:w="297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27003 6.1.3 d)</w:t>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4</w:t>
            </w:r>
          </w:p>
        </w:tc>
        <w:tc>
          <w:tcPr>
            <w:tcW w:type="dxa" w:w="559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Risk treatment options went from four to five</w:t>
            </w:r>
          </w:p>
        </w:tc>
        <w:tc>
          <w:tcPr>
            <w:tcW w:type="dxa" w:w="297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27003 6.1.3 a)</w:t>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5</w:t>
            </w:r>
          </w:p>
        </w:tc>
        <w:tc>
          <w:tcPr>
            <w:tcW w:type="dxa" w:w="559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Risk treatment plan gained control effectiveness and expected residual risk columns</w:t>
            </w:r>
          </w:p>
        </w:tc>
        <w:tc>
          <w:tcPr>
            <w:tcW w:type="dxa" w:w="297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27003 6.1.3 f)</w:t>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6</w:t>
            </w:r>
          </w:p>
        </w:tc>
        <w:tc>
          <w:tcPr>
            <w:tcW w:type="dxa" w:w="559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Scope document gained the four-step scoping approach and the five scoping factors</w:t>
            </w:r>
          </w:p>
        </w:tc>
        <w:tc>
          <w:tcPr>
            <w:tcW w:type="dxa" w:w="297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27003 4.3</w:t>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7</w:t>
            </w:r>
          </w:p>
        </w:tc>
        <w:tc>
          <w:tcPr>
            <w:tcW w:type="dxa" w:w="559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Methodology gained the caution against over-detailing the first risk cycle</w:t>
            </w:r>
          </w:p>
        </w:tc>
        <w:tc>
          <w:tcPr>
            <w:tcW w:type="dxa" w:w="297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27003 6.1.2 c), 8.2</w:t>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8</w:t>
            </w:r>
          </w:p>
        </w:tc>
        <w:tc>
          <w:tcPr>
            <w:tcW w:type="dxa" w:w="559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Objectives split onto their own tab with the five Clause 6.2 planning elements as columns</w:t>
            </w:r>
          </w:p>
        </w:tc>
        <w:tc>
          <w:tcPr>
            <w:tcW w:type="dxa" w:w="297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27003 6.2</w:t>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9</w:t>
            </w:r>
          </w:p>
        </w:tc>
        <w:tc>
          <w:tcPr>
            <w:tcW w:type="dxa" w:w="559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Metrics tab rebuilt as a measurement plan using the Table 1 descriptors</w:t>
            </w:r>
          </w:p>
        </w:tc>
        <w:tc>
          <w:tcPr>
            <w:tcW w:type="dxa" w:w="297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27004 Table 1</w:t>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10</w:t>
            </w:r>
          </w:p>
        </w:tc>
        <w:tc>
          <w:tcPr>
            <w:tcW w:type="dxa" w:w="559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Performance and effectiveness measures distinguished and both required</w:t>
            </w:r>
          </w:p>
        </w:tc>
        <w:tc>
          <w:tcPr>
            <w:tcW w:type="dxa" w:w="297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27004 7.2, 7.3</w:t>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11</w:t>
            </w:r>
          </w:p>
        </w:tc>
        <w:tc>
          <w:tcPr>
            <w:tcW w:type="dxa" w:w="559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New Measurement Plan document explaining the model, roles and process</w:t>
            </w:r>
          </w:p>
        </w:tc>
        <w:tc>
          <w:tcPr>
            <w:tcW w:type="dxa" w:w="297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27004 throughout</w:t>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12</w:t>
            </w:r>
          </w:p>
        </w:tc>
        <w:tc>
          <w:tcPr>
            <w:tcW w:type="dxa" w:w="559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Competence matrix gained an effectiveness-of-action column</w:t>
            </w:r>
          </w:p>
        </w:tc>
        <w:tc>
          <w:tcPr>
            <w:tcW w:type="dxa" w:w="297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27003 7.2 c)</w:t>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13</w:t>
            </w:r>
          </w:p>
        </w:tc>
        <w:tc>
          <w:tcPr>
            <w:tcW w:type="dxa" w:w="559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Communication plan gained a receipt-and-understanding column</w:t>
            </w:r>
          </w:p>
        </w:tc>
        <w:tc>
          <w:tcPr>
            <w:tcW w:type="dxa" w:w="297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27003 7.4 p)</w:t>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14</w:t>
            </w:r>
          </w:p>
        </w:tc>
        <w:tc>
          <w:tcPr>
            <w:tcW w:type="dxa" w:w="559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 register gained a disposition-after-retention column</w:t>
            </w:r>
          </w:p>
        </w:tc>
        <w:tc>
          <w:tcPr>
            <w:tcW w:type="dxa" w:w="297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27003 7.5.3</w:t>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15</w:t>
            </w:r>
          </w:p>
        </w:tc>
        <w:tc>
          <w:tcPr>
            <w:tcW w:type="dxa" w:w="559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Internal audit template gained the programme content checklist, the eight review areas, the definition of the organisation’s own requirements, and the follow-up action plan format</w:t>
            </w:r>
          </w:p>
        </w:tc>
        <w:tc>
          <w:tcPr>
            <w:tcW w:type="dxa" w:w="297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27003 9.2</w:t>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16</w:t>
            </w:r>
          </w:p>
        </w:tc>
        <w:tc>
          <w:tcPr>
            <w:tcW w:type="dxa" w:w="559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All twelve topic policies restructured to the ten-part policy framework</w:t>
            </w:r>
          </w:p>
        </w:tc>
        <w:tc>
          <w:tcPr>
            <w:tcW w:type="dxa" w:w="297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27003 Annex A</w:t>
            </w:r>
          </w:p>
        </w:tc>
      </w:tr>
    </w:tbl>
    <w:p>
      <w:pPr>
        <w:pStyle w:val="Heading2"/>
        <w:spacing w:after="110" w:before="260"/>
      </w:pPr>
      <w:r>
        <w:rPr>
          <w:rFonts w:ascii="Inter" w:cs="Inter" w:eastAsia="Inter" w:hAnsi="Inter"/>
          <w:b/>
          <w:bCs/>
          <w:i w:val="false"/>
          <w:iCs w:val="false"/>
          <w:color w:val="595959"/>
          <w:sz w:val="24"/>
          <w:szCs w:val="24"/>
        </w:rPr>
        <w:t xml:space="preserve">Revision history</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083"/>
        <w:gridCol w:w="1354"/>
        <w:gridCol w:w="1805"/>
        <w:gridCol w:w="3159"/>
        <w:gridCol w:w="1625"/>
      </w:tblGrid>
      <w:tr>
        <w:trPr>
          <w:tblHeader/>
        </w:trPr>
        <w:tc>
          <w:tcPr>
            <w:tcW w:type="dxa" w:w="108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Version</w:t>
            </w:r>
          </w:p>
        </w:tc>
        <w:tc>
          <w:tcPr>
            <w:tcW w:type="dxa" w:w="135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Date</w:t>
            </w:r>
          </w:p>
        </w:tc>
        <w:tc>
          <w:tcPr>
            <w:tcW w:type="dxa" w:w="180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Author</w:t>
            </w:r>
          </w:p>
        </w:tc>
        <w:tc>
          <w:tcPr>
            <w:tcW w:type="dxa" w:w="3159"/>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Summary of change</w:t>
            </w:r>
          </w:p>
        </w:tc>
        <w:tc>
          <w:tcPr>
            <w:tcW w:type="dxa" w:w="162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Approved by</w:t>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0.1</w:t>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[AUTHOR]</w:t>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Initial draft</w:t>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t>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sectPr>
      <w:headerReference w:type="default" r:id="rId7"/>
      <w:footerReference w:type="default" r:id="rId8"/>
      <w:headerReference w:type="first" r:id="rId10"/>
      <w:footerReference w:type="first" r:id="rId11"/>
      <w:headerReference w:type="even" r:id="rId12"/>
      <w:footerReference w:type="even" r:id="rId13"/>
      <w:pgSz w:w="11906" w:h="16838" w:orient="portrait"/>
      <w:pgMar w:top="1134" w:right="1440" w:bottom="1134"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right"/>
    </w:pPr>
    <w:r>
      <w:rPr>
        <w:rFonts w:ascii="Inter" w:cs="Inter" w:eastAsia="Inter" w:hAnsi="Inter"/>
        <w:b w:val="false"/>
        <w:bCs w:val="false"/>
        <w:i w:val="false"/>
        <w:iCs w:val="false"/>
        <w:color w:val="808080"/>
        <w:sz w:val="16"/>
        <w:szCs w:val="16"/>
      </w:rPr>
      <w:t xml:space="preserve">ISO/IEC 27001:2022 Implementation Kit  ·  sameerkhairkar.com        Page </w:t>
    </w:r>
    <w:r>
      <w:rPr>
        <w:rFonts w:ascii="Inter" w:cs="Inter" w:eastAsia="Inter" w:hAnsi="Inter"/>
        <w:color w:val="808080"/>
        <w:sz w:val="16"/>
        <w:szCs w:val="16"/>
      </w:rPr>
      <w:fldChar w:fldCharType="begin"/>
      <w:instrText xml:space="preserve">PAGE</w:instrText>
      <w:fldChar w:fldCharType="separate"/>
      <w:fldChar w:fldCharType="end"/>
    </w:r>
    <w:r>
      <w:rPr>
        <w:rFonts w:ascii="Inter" w:cs="Inter" w:eastAsia="Inter" w:hAnsi="Inter"/>
        <w:b w:val="false"/>
        <w:bCs w:val="false"/>
        <w:i w:val="false"/>
        <w:iCs w:val="false"/>
        <w:color w:val="808080"/>
        <w:sz w:val="16"/>
        <w:szCs w:val="16"/>
      </w:rPr>
      <w:t xml:space="preserve"> of </w:t>
    </w:r>
    <w:r>
      <w:rPr>
        <w:rFonts w:ascii="Inter" w:cs="Inter" w:eastAsia="Inter" w:hAnsi="Inter"/>
        <w:color w:val="808080"/>
        <w:sz w:val="16"/>
        <w:szCs w:val="16"/>
      </w:rPr>
      <w:fldChar w:fldCharType="begin"/>
      <w:instrText xml:space="preserve">NUMPAGES</w:instrText>
      <w:fldChar w:fldCharType="separate"/>
      <w:fldChar w:fldCharType="end"/>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BFBFBF" w:sz="4" w:space="4"/>
      </w:pBdr>
      <w:jc w:val="right"/>
    </w:pPr>
    <w:r>
      <w:rPr>
        <w:rFonts w:ascii="Inter" w:cs="Inter" w:eastAsia="Inter" w:hAnsi="Inter"/>
        <w:b w:val="false"/>
        <w:bCs w:val="false"/>
        <w:i w:val="false"/>
        <w:iCs w:val="false"/>
        <w:color w:val="808080"/>
        <w:sz w:val="16"/>
        <w:szCs w:val="16"/>
      </w:rPr>
      <w:t>[YOUR ORGANISATION]  |  ISO/IEC 27003 and 27004 Conformance Matrix  |  [Classification]</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20" w:hanging="240"/>
      </w:pPr>
    </w:lvl>
    <w:lvl w:ilvl="1" w15:tentative="1">
      <w:start w:val="1"/>
      <w:numFmt w:val="bullet"/>
      <w:lvlText w:val="–"/>
      <w:lvlJc w:val="left"/>
      <w:pPr>
        <w:ind w:left="840" w:hanging="240"/>
      </w:pPr>
    </w:lvl>
  </w:abstractNum>
  <w:abstractNum w:abstractNumId="3" w15:restartNumberingAfterBreak="0">
    <w:multiLevelType w:val="hybridMultilevel"/>
    <w:lvl w:ilvl="0" w15:tentative="1">
      <w:start w:val="1"/>
      <w:numFmt w:val="decimal"/>
      <w:lvlText w:val="%1."/>
      <w:lvlJc w:val="left"/>
      <w:pPr>
        <w:ind w:left="500" w:hanging="320"/>
      </w:pPr>
    </w:lvl>
  </w:abstractNum>
  <w:num w:numId="1">
    <w:abstractNumId w:val="1"/>
    <w:lvlOverride w:ilvl="0">
      <w:startOverride w:val="1"/>
    </w:lvlOverride>
  </w:num>
  <w:num w:numId="2">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Inter" w:cs="Inter" w:eastAsia="Inter" w:hAnsi="Inter"/>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1A1A1A"/>
      <w:sz w:val="32"/>
      <w:szCs w:val="32"/>
    </w:rPr>
  </w:style>
  <w:style w:type="paragraph" w:styleId="Heading2">
    <w:name w:val="Heading 2"/>
    <w:basedOn w:val="Normal"/>
    <w:next w:val="Normal"/>
    <w:qFormat/>
    <w:rPr>
      <w:color w:val="1A1A1A"/>
      <w:sz w:val="26"/>
      <w:szCs w:val="26"/>
    </w:rPr>
  </w:style>
  <w:style w:type="paragraph" w:styleId="Heading3">
    <w:name w:val="Heading 3"/>
    <w:basedOn w:val="Normal"/>
    <w:next w:val="Normal"/>
    <w:qFormat/>
    <w:rPr>
      <w:color w:val="1A1A1A"/>
      <w:sz w:val="24"/>
      <w:szCs w:val="24"/>
    </w:rPr>
  </w:style>
  <w:style w:type="paragraph" w:styleId="Heading4">
    <w:name w:val="Heading 4"/>
    <w:basedOn w:val="Normal"/>
    <w:next w:val="Normal"/>
    <w:qFormat/>
    <w:rPr>
      <w:i/>
      <w:iCs/>
      <w:color w:val="1A1A1A"/>
    </w:rPr>
  </w:style>
  <w:style w:type="paragraph" w:styleId="Heading5">
    <w:name w:val="Heading 5"/>
    <w:basedOn w:val="Normal"/>
    <w:next w:val="Normal"/>
    <w:qFormat/>
    <w:rPr>
      <w:color w:val="1A1A1A"/>
    </w:rPr>
  </w:style>
  <w:style w:type="paragraph" w:styleId="Heading6">
    <w:name w:val="Heading 6"/>
    <w:basedOn w:val="Normal"/>
    <w:next w:val="Normal"/>
    <w:qFormat/>
    <w:rPr>
      <w:color w:val="1A1A1A"/>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header" Target="header2.xml"/><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ISO/IEC 27003 and 27004 Conformance Matrix</dc:title>
  <dc:creator>Sameer Khairkar</dc:creator>
  <dc:description>Conformance against ISO/IEC 27003:2017 and ISO/IEC 27004:2016. Free template from sameerkhairkar.com. Practitioner material, not legal advice.</dc:description>
  <cp:lastModifiedBy>Sameer Khairkar</cp:lastModifiedBy>
  <cp:revision>1</cp:revision>
  <dcterms:created xsi:type="dcterms:W3CDTF">2026-08-10T11:39:47.968Z</dcterms:created>
  <dcterms:modified xsi:type="dcterms:W3CDTF">2026-08-10T11:39:47.969Z</dcterms:modified>
  <cp:category>ISO/IEC 27001:2022 Implementation Kit</cp:category>
</cp:coreProperties>
</file>

<file path=docProps/custom.xml><?xml version="1.0" encoding="utf-8"?>
<Properties xmlns="http://schemas.openxmlformats.org/officeDocument/2006/custom-properties" xmlns:vt="http://schemas.openxmlformats.org/officeDocument/2006/docPropsVTypes"/>
</file>