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Contract Security Schedule</w:t>
      </w:r>
    </w:p>
    <w:p>
      <w:pPr>
        <w:spacing w:after="400"/>
      </w:pPr>
      <w:r>
        <w:rPr>
          <w:rFonts w:ascii="Inter" w:cs="Inter" w:eastAsia="Inter" w:hAnsi="Inter"/>
          <w:b w:val="false"/>
          <w:bCs w:val="false"/>
          <w:i w:val="false"/>
          <w:iCs w:val="false"/>
          <w:color w:val="595959"/>
          <w:sz w:val="24"/>
          <w:szCs w:val="24"/>
        </w:rPr>
        <w:t xml:space="preserve">Security terms for supplier and customer agreements (A.5.20)</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Contract annex template - have reviewed by legal counsel</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ISO/IEC 27002 A.5.20 sets out the terms that can be considered for inclusion in a supplier agreement. This schedule works through all of them so that nothing is omitted by accident. Delete what does not apply to the relationship - a schedule that is disproportionate to a low-risk supplier will simply not get signed. Have it reviewed by legal counsel before first use; it is drafted to be complete, not to be jurisdiction-specific.</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How to use this schedule</w:t>
      </w:r>
    </w:p>
    <w:p>
      <w:pPr>
        <w:spacing w:after="120" w:line="264"/>
      </w:pPr>
      <w:r>
        <w:rPr>
          <w:rFonts w:ascii="Inter" w:cs="Inter" w:eastAsia="Inter" w:hAnsi="Inter"/>
          <w:b w:val="false"/>
          <w:bCs w:val="false"/>
          <w:i w:val="false"/>
          <w:iCs w:val="false"/>
          <w:color w:val="000000"/>
          <w:sz w:val="21"/>
          <w:szCs w:val="21"/>
        </w:rPr>
        <w:t>This is an annex to be attached to a contract, in either direction: to a supplier agreement where [YOUR ORGANISATION] is the customer, or offered to a customer where [YOUR ORGANISATION] is the supplier. The clauses are written from the perspective of the party receiving the protection; reverse the roles where you are the one giving it.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152"/>
        <w:gridCol w:w="4874"/>
      </w:tblGrid>
      <w:tr>
        <w:trPr>
          <w:tblHeader/>
        </w:trPr>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Supplier tier</w:t>
            </w:r>
          </w:p>
        </w:tc>
        <w:tc>
          <w:tcPr>
            <w:tcW w:type="dxa" w:w="487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to include</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Tier 1 - critical, holds Confidential data or a critical service depends on it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clauses</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Tier 2 - important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2, 3, 5, 7, 8, 10, 11, 13, 14</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Tier 3 - routine, limited data access</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2, 5, 8, 14</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Tier 4 - no access to information</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Confidentiality clause only</w:t>
            </w:r>
          </w:p>
        </w:tc>
      </w:tr>
    </w:tbl>
    <w:p>
      <w:pPr>
        <w:spacing w:after="120" w:line="264"/>
      </w:pPr>
      <w:r>
        <w:rPr>
          <w:rFonts w:ascii="Inter" w:cs="Inter" w:eastAsia="Inter" w:hAnsi="Inter"/>
          <w:b w:val="false"/>
          <w:bCs w:val="false"/>
          <w:i w:val="false"/>
          <w:iCs w:val="false"/>
          <w:color w:val="000000"/>
          <w:sz w:val="21"/>
          <w:szCs w:val="21"/>
        </w:rPr>
        <w:t xml:space="preserve">The tiering is maintained on the Supplier Register (workbook tab 22). Agreements are recorded there so the organisation can see where its information has gone.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Schedule [X] - Information security requirements</w:t>
      </w:r>
    </w:p>
    <w:p>
      <w:pPr>
        <w:pStyle w:val="Heading2"/>
        <w:spacing w:after="110" w:before="260"/>
      </w:pPr>
      <w:r>
        <w:rPr>
          <w:rFonts w:ascii="Inter" w:cs="Inter" w:eastAsia="Inter" w:hAnsi="Inter"/>
          <w:b/>
          <w:bCs/>
          <w:i w:val="false"/>
          <w:iCs w:val="false"/>
          <w:color w:val="595959"/>
          <w:sz w:val="24"/>
          <w:szCs w:val="24"/>
        </w:rPr>
        <w:t xml:space="preserve">1. Definitions and information covered</w:t>
      </w:r>
    </w:p>
    <w:p>
      <w:pPr>
        <w:spacing w:after="120" w:line="264"/>
      </w:pPr>
      <w:r>
        <w:rPr>
          <w:rFonts w:ascii="Inter" w:cs="Inter" w:eastAsia="Inter" w:hAnsi="Inter"/>
          <w:b w:val="false"/>
          <w:bCs w:val="false"/>
          <w:i w:val="false"/>
          <w:iCs w:val="false"/>
          <w:color w:val="000000"/>
          <w:sz w:val="21"/>
          <w:szCs w:val="21"/>
        </w:rPr>
        <w:t xml:space="preserve">This Schedule applies to [describe the information to be provided or accessed, and the methods by which it is provided or accessed]. "Information" in this Schedule means that information and anything derived from it.</w:t>
      </w:r>
    </w:p>
    <w:p>
      <w:pPr>
        <w:pStyle w:val="Heading2"/>
        <w:spacing w:after="110" w:before="260"/>
      </w:pPr>
      <w:r>
        <w:rPr>
          <w:rFonts w:ascii="Inter" w:cs="Inter" w:eastAsia="Inter" w:hAnsi="Inter"/>
          <w:b/>
          <w:bCs/>
          <w:i w:val="false"/>
          <w:iCs w:val="false"/>
          <w:color w:val="595959"/>
          <w:sz w:val="24"/>
          <w:szCs w:val="24"/>
        </w:rPr>
        <w:t xml:space="preserve">2. Classification and handling</w:t>
      </w:r>
    </w:p>
    <w:p>
      <w:pPr>
        <w:spacing w:after="120" w:line="264"/>
      </w:pPr>
      <w:r>
        <w:rPr>
          <w:rFonts w:ascii="Inter" w:cs="Inter" w:eastAsia="Inter" w:hAnsi="Inter"/>
          <w:b w:val="false"/>
          <w:bCs w:val="false"/>
          <w:i w:val="false"/>
          <w:iCs w:val="false"/>
          <w:color w:val="000000"/>
          <w:sz w:val="21"/>
          <w:szCs w:val="21"/>
        </w:rPr>
        <w:t>The Supplier shall handle the Information in accordance with the classification assigned by [YOUR ORGANISATION] under its classification scheme. Where the Supplier operates its own classification scheme, the parties shall agree a written mapping between the two schemes so that a classification assigned by one party is honoured by the other.</w:t>
      </w:r>
    </w:p>
    <w:p>
      <w:pPr>
        <w:pStyle w:val="Heading2"/>
        <w:spacing w:after="110" w:before="260"/>
      </w:pPr>
      <w:r>
        <w:rPr>
          <w:rFonts w:ascii="Inter" w:cs="Inter" w:eastAsia="Inter" w:hAnsi="Inter"/>
          <w:b/>
          <w:bCs/>
          <w:i w:val="false"/>
          <w:iCs w:val="false"/>
          <w:color w:val="595959"/>
          <w:sz w:val="24"/>
          <w:szCs w:val="24"/>
        </w:rPr>
        <w:t xml:space="preserve">3. Security controls</w:t>
      </w:r>
    </w:p>
    <w:p>
      <w:pPr>
        <w:spacing w:after="120" w:line="264"/>
      </w:pPr>
      <w:r>
        <w:rPr>
          <w:rFonts w:ascii="Inter" w:cs="Inter" w:eastAsia="Inter" w:hAnsi="Inter"/>
          <w:b w:val="false"/>
          <w:bCs w:val="false"/>
          <w:i w:val="false"/>
          <w:iCs w:val="false"/>
          <w:color w:val="000000"/>
          <w:sz w:val="21"/>
          <w:szCs w:val="21"/>
        </w:rPr>
        <w:t>Each party shall implement and maintain the set of controls set out in Appendix 1 to this Schedule. The Supplier shall comply with the information security requirements of [YOUR ORGANISATION] as notified from time to time, and shall submit to performance review, monitoring, reporting and audit as set out below. Minimum requirements shall apply according to the type of Information and type of access, as specified in Appendix 1.</w:t>
      </w:r>
    </w:p>
    <w:p>
      <w:pPr>
        <w:pStyle w:val="Heading2"/>
        <w:spacing w:after="110" w:before="260"/>
      </w:pPr>
      <w:r>
        <w:rPr>
          <w:rFonts w:ascii="Inter" w:cs="Inter" w:eastAsia="Inter" w:hAnsi="Inter"/>
          <w:b/>
          <w:bCs/>
          <w:i w:val="false"/>
          <w:iCs w:val="false"/>
          <w:color w:val="595959"/>
          <w:sz w:val="24"/>
          <w:szCs w:val="24"/>
        </w:rPr>
        <w:t xml:space="preserve">4. ICT infrastructure requirements</w:t>
      </w:r>
    </w:p>
    <w:p>
      <w:pPr>
        <w:spacing w:after="120" w:line="264"/>
      </w:pPr>
      <w:r>
        <w:rPr>
          <w:rFonts w:ascii="Inter" w:cs="Inter" w:eastAsia="Inter" w:hAnsi="Inter"/>
          <w:b w:val="false"/>
          <w:bCs w:val="false"/>
          <w:i w:val="false"/>
          <w:iCs w:val="false"/>
          <w:color w:val="000000"/>
          <w:sz w:val="21"/>
          <w:szCs w:val="21"/>
        </w:rPr>
        <w:t xml:space="preserve">The Supplier shall meet the information security requirements set out in Appendix 1 in respect of the ICT infrastructure used to provide the services, including [hardening, patching, segregation, encryption, logging and access control requirements].</w:t>
      </w:r>
    </w:p>
    <w:p>
      <w:pPr>
        <w:pStyle w:val="Heading2"/>
        <w:spacing w:after="110" w:before="260"/>
      </w:pPr>
      <w:r>
        <w:rPr>
          <w:rFonts w:ascii="Inter" w:cs="Inter" w:eastAsia="Inter" w:hAnsi="Inter"/>
          <w:b/>
          <w:bCs/>
          <w:i w:val="false"/>
          <w:iCs w:val="false"/>
          <w:color w:val="595959"/>
          <w:sz w:val="24"/>
          <w:szCs w:val="24"/>
        </w:rPr>
        <w:t xml:space="preserve">5. Legal and regulatory compliance</w:t>
      </w:r>
    </w:p>
    <w:p>
      <w:pPr>
        <w:spacing w:after="120" w:line="264"/>
      </w:pPr>
      <w:r>
        <w:rPr>
          <w:rFonts w:ascii="Inter" w:cs="Inter" w:eastAsia="Inter" w:hAnsi="Inter"/>
          <w:b w:val="false"/>
          <w:bCs w:val="false"/>
          <w:i w:val="false"/>
          <w:iCs w:val="false"/>
          <w:color w:val="000000"/>
          <w:sz w:val="21"/>
          <w:szCs w:val="21"/>
        </w:rPr>
        <w:t xml:space="preserve">Each party shall comply with all applicable legal, statutory, regulatory and contractual requirements relating to the Information, including those concerning data protection and the handling of personally identifiable information, intellectual property rights and copyright. The Supplier shall on request describe how it ensures those requirements are met. Where personal data is processed, the data processing terms at [REFERENCE] apply and take precedence in the event of conflict.</w:t>
      </w:r>
    </w:p>
    <w:p>
      <w:pPr>
        <w:pStyle w:val="Heading2"/>
        <w:spacing w:after="110" w:before="260"/>
      </w:pPr>
      <w:r>
        <w:rPr>
          <w:rFonts w:ascii="Inter" w:cs="Inter" w:eastAsia="Inter" w:hAnsi="Inter"/>
          <w:b/>
          <w:bCs/>
          <w:i w:val="false"/>
          <w:iCs w:val="false"/>
          <w:color w:val="595959"/>
          <w:sz w:val="24"/>
          <w:szCs w:val="24"/>
        </w:rPr>
        <w:t xml:space="preserve">6. Acceptable use</w:t>
      </w:r>
    </w:p>
    <w:p>
      <w:pPr>
        <w:spacing w:after="120" w:line="264"/>
      </w:pPr>
      <w:r>
        <w:rPr>
          <w:rFonts w:ascii="Inter" w:cs="Inter" w:eastAsia="Inter" w:hAnsi="Inter"/>
          <w:b w:val="false"/>
          <w:bCs w:val="false"/>
          <w:i w:val="false"/>
          <w:iCs w:val="false"/>
          <w:color w:val="000000"/>
          <w:sz w:val="21"/>
          <w:szCs w:val="21"/>
        </w:rPr>
        <w:t xml:space="preserve">The Supplier shall use the Information and any associated assets only for the purposes of performing the services, and shall not [state any specific unacceptable uses, including use for training models, analytics, benchmarking or product improvement, if those are to be prohibited].</w:t>
      </w:r>
    </w:p>
    <w:p>
      <w:pPr>
        <w:pStyle w:val="Heading2"/>
        <w:spacing w:after="110" w:before="260"/>
      </w:pPr>
      <w:r>
        <w:rPr>
          <w:rFonts w:ascii="Inter" w:cs="Inter" w:eastAsia="Inter" w:hAnsi="Inter"/>
          <w:b/>
          <w:bCs/>
          <w:i w:val="false"/>
          <w:iCs w:val="false"/>
          <w:color w:val="595959"/>
          <w:sz w:val="24"/>
          <w:szCs w:val="24"/>
        </w:rPr>
        <w:t xml:space="preserve">7. Authorisation of supplier personnel</w:t>
      </w:r>
    </w:p>
    <w:p>
      <w:pPr>
        <w:spacing w:after="120" w:line="264"/>
      </w:pPr>
      <w:r>
        <w:rPr>
          <w:rFonts w:ascii="Inter" w:cs="Inter" w:eastAsia="Inter" w:hAnsi="Inter"/>
          <w:b w:val="false"/>
          <w:bCs w:val="false"/>
          <w:i w:val="false"/>
          <w:iCs w:val="false"/>
          <w:color w:val="000000"/>
          <w:sz w:val="21"/>
          <w:szCs w:val="21"/>
        </w:rPr>
        <w:t xml:space="preserve">The Supplier shall grant its personnel access to the Information only where necessary to perform the services, shall maintain a current list of authorised personnel on request, and shall remove authorisation promptly when a person no longer requires it or leaves the Supplier.</w:t>
      </w:r>
    </w:p>
    <w:p>
      <w:pPr>
        <w:pStyle w:val="Heading2"/>
        <w:spacing w:after="110" w:before="260"/>
      </w:pPr>
      <w:r>
        <w:rPr>
          <w:rFonts w:ascii="Inter" w:cs="Inter" w:eastAsia="Inter" w:hAnsi="Inter"/>
          <w:b/>
          <w:bCs/>
          <w:i w:val="false"/>
          <w:iCs w:val="false"/>
          <w:color w:val="595959"/>
          <w:sz w:val="24"/>
          <w:szCs w:val="24"/>
        </w:rPr>
        <w:t xml:space="preserve">8. Personnel screening, training and awareness</w:t>
      </w:r>
    </w:p>
    <w:p>
      <w:pPr>
        <w:spacing w:after="120" w:line="264"/>
      </w:pPr>
      <w:r>
        <w:rPr>
          <w:rFonts w:ascii="Inter" w:cs="Inter" w:eastAsia="Inter" w:hAnsi="Inter"/>
          <w:b w:val="false"/>
          <w:bCs w:val="false"/>
          <w:i w:val="false"/>
          <w:iCs w:val="false"/>
          <w:color w:val="000000"/>
          <w:sz w:val="21"/>
          <w:szCs w:val="21"/>
        </w:rPr>
        <w:t>The Supplier shall, so far as legally permissible in the relevant jurisdiction, screen personnel who will access the Information to a standard no less than [STANDARD], and shall notify [YOUR ORGANISATION] where screening has not been completed or where the results give cause for concern. The Supplier shall ensure such personnel receive training and awareness appropriate to the specific procedures and security requirements applying to them, including incident response and authorisation procedures.</w:t>
      </w:r>
    </w:p>
    <w:p>
      <w:pPr>
        <w:pStyle w:val="Heading2"/>
        <w:spacing w:after="110" w:before="260"/>
      </w:pPr>
      <w:r>
        <w:rPr>
          <w:rFonts w:ascii="Inter" w:cs="Inter" w:eastAsia="Inter" w:hAnsi="Inter"/>
          <w:b/>
          <w:bCs/>
          <w:i w:val="false"/>
          <w:iCs w:val="false"/>
          <w:color w:val="595959"/>
          <w:sz w:val="24"/>
          <w:szCs w:val="24"/>
        </w:rPr>
        <w:t xml:space="preserve">9. Sub-contracting</w:t>
      </w:r>
    </w:p>
    <w:p>
      <w:pPr>
        <w:spacing w:after="120" w:line="264"/>
      </w:pPr>
      <w:r>
        <w:rPr>
          <w:rFonts w:ascii="Inter" w:cs="Inter" w:eastAsia="Inter" w:hAnsi="Inter"/>
          <w:b w:val="false"/>
          <w:bCs w:val="false"/>
          <w:i w:val="false"/>
          <w:iCs w:val="false"/>
          <w:color w:val="000000"/>
          <w:sz w:val="21"/>
          <w:szCs w:val="21"/>
        </w:rPr>
        <w:t>The Supplier shall not sub-contract any part of the services involving access to the Information without the prior written consent of [YOUR ORGANISATION]. The Supplier shall maintain a current list of sub-suppliers, shall notify [YOUR ORGANISATION] in advance of any change, and shall impose on each sub-supplier obligations no less protective than those in this Schedule. The Supplier remains fully responsible for the acts and omissions of its sub-suppliers.</w:t>
      </w:r>
    </w:p>
    <w:p>
      <w:pPr>
        <w:pStyle w:val="Heading2"/>
        <w:spacing w:after="110" w:before="260"/>
      </w:pPr>
      <w:r>
        <w:rPr>
          <w:rFonts w:ascii="Inter" w:cs="Inter" w:eastAsia="Inter" w:hAnsi="Inter"/>
          <w:b/>
          <w:bCs/>
          <w:i w:val="false"/>
          <w:iCs w:val="false"/>
          <w:color w:val="595959"/>
          <w:sz w:val="24"/>
          <w:szCs w:val="24"/>
        </w:rPr>
        <w:t xml:space="preserve">10. Incident management and notification</w:t>
      </w:r>
    </w:p>
    <w:p>
      <w:pPr>
        <w:spacing w:after="120" w:line="264"/>
      </w:pPr>
      <w:r>
        <w:rPr>
          <w:rFonts w:ascii="Inter" w:cs="Inter" w:eastAsia="Inter" w:hAnsi="Inter"/>
          <w:b w:val="false"/>
          <w:bCs w:val="false"/>
          <w:i w:val="false"/>
          <w:iCs w:val="false"/>
          <w:color w:val="000000"/>
          <w:sz w:val="21"/>
          <w:szCs w:val="21"/>
        </w:rPr>
        <w:t>The Supplier shall notify [YOUR ORGANISATION] without undue delay and in any event within [24] hours of becoming aware of any actual or suspected security incident affecting the Information. The notification shall include the nature of the incident, the Information affected, the measures taken, and a point of contact. The Supplier shall cooperate fully in investigation and remediation, and shall not make any public statement concerning the incident that identifies [YOUR ORGANISATION] without prior written consent.</w:t>
      </w:r>
    </w:p>
    <w:p>
      <w:pPr>
        <w:pStyle w:val="Heading2"/>
        <w:spacing w:after="110" w:before="260"/>
      </w:pPr>
      <w:r>
        <w:rPr>
          <w:rFonts w:ascii="Inter" w:cs="Inter" w:eastAsia="Inter" w:hAnsi="Inter"/>
          <w:b/>
          <w:bCs/>
          <w:i w:val="false"/>
          <w:iCs w:val="false"/>
          <w:color w:val="595959"/>
          <w:sz w:val="24"/>
          <w:szCs w:val="24"/>
        </w:rPr>
        <w:t xml:space="preserve">11. Assurance, reporting and audit</w:t>
      </w:r>
    </w:p>
    <w:p>
      <w:pPr>
        <w:spacing w:after="120" w:line="264"/>
      </w:pPr>
      <w:r>
        <w:rPr>
          <w:rFonts w:ascii="Inter" w:cs="Inter" w:eastAsia="Inter" w:hAnsi="Inter"/>
          <w:b w:val="false"/>
          <w:bCs w:val="false"/>
          <w:i w:val="false"/>
          <w:iCs w:val="false"/>
          <w:color w:val="000000"/>
          <w:sz w:val="21"/>
          <w:szCs w:val="21"/>
        </w:rPr>
        <w:t>The Supplier shall provide [YOUR ORGANISATION] with [current ISO/IEC 27001 certification / SOC 2 Type II report / equivalent independent attestation] annually, together with a report on the effectiveness of the controls in Appendix 1. Relevant issues raised in any such report shall be corrected within an agreed timescale. [YOUR ORGANISATION] shall have the right, on reasonable notice and no more than [once] per year save following an incident, to audit the Supplier processes and controls relevant to this Schedule, or to appoint a third party to do so.</w:t>
      </w:r>
    </w:p>
    <w:p>
      <w:pPr>
        <w:pStyle w:val="Heading2"/>
        <w:spacing w:after="110" w:before="260"/>
      </w:pPr>
      <w:r>
        <w:rPr>
          <w:rFonts w:ascii="Inter" w:cs="Inter" w:eastAsia="Inter" w:hAnsi="Inter"/>
          <w:b/>
          <w:bCs/>
          <w:i w:val="false"/>
          <w:iCs w:val="false"/>
          <w:color w:val="595959"/>
          <w:sz w:val="24"/>
          <w:szCs w:val="24"/>
        </w:rPr>
        <w:t xml:space="preserve">12. Backup, resilience and alternate facilities</w:t>
      </w:r>
    </w:p>
    <w:p>
      <w:pPr>
        <w:spacing w:after="120" w:line="264"/>
      </w:pPr>
      <w:r>
        <w:rPr>
          <w:rFonts w:ascii="Inter" w:cs="Inter" w:eastAsia="Inter" w:hAnsi="Inter"/>
          <w:b w:val="false"/>
          <w:bCs w:val="false"/>
          <w:i w:val="false"/>
          <w:iCs w:val="false"/>
          <w:color w:val="000000"/>
          <w:sz w:val="21"/>
          <w:szCs w:val="21"/>
        </w:rPr>
        <w:t>The Supplier shall maintain backups of the Information aligned to [YOUR ORGANISATION]'s requirements as to frequency, type and storage location, and shall maintain an alternate facility whose exposure to threats is materially different from that of the primary facility. The Supplier shall maintain fall-back controls to apply in the event that primary controls fail.</w:t>
      </w:r>
    </w:p>
    <w:p>
      <w:pPr>
        <w:pStyle w:val="Heading2"/>
        <w:spacing w:after="110" w:before="260"/>
      </w:pPr>
      <w:r>
        <w:rPr>
          <w:rFonts w:ascii="Inter" w:cs="Inter" w:eastAsia="Inter" w:hAnsi="Inter"/>
          <w:b/>
          <w:bCs/>
          <w:i w:val="false"/>
          <w:iCs w:val="false"/>
          <w:color w:val="595959"/>
          <w:sz w:val="24"/>
          <w:szCs w:val="24"/>
        </w:rPr>
        <w:t xml:space="preserve">13. Change management</w:t>
      </w:r>
    </w:p>
    <w:p>
      <w:pPr>
        <w:spacing w:after="120" w:line="264"/>
      </w:pPr>
      <w:r>
        <w:rPr>
          <w:rFonts w:ascii="Inter" w:cs="Inter" w:eastAsia="Inter" w:hAnsi="Inter"/>
          <w:b w:val="false"/>
          <w:bCs w:val="false"/>
          <w:i w:val="false"/>
          <w:iCs w:val="false"/>
          <w:color w:val="000000"/>
          <w:sz w:val="21"/>
          <w:szCs w:val="21"/>
        </w:rPr>
        <w:t>The Supplier shall operate a change management process that provides [YOUR ORGANISATION] with advance notification of changes that could affect the security of the Information or the services, and shall allow [YOUR ORGANISATION] the opportunity not to accept such a change.</w:t>
      </w:r>
    </w:p>
    <w:p>
      <w:pPr>
        <w:pStyle w:val="Heading2"/>
        <w:spacing w:after="110" w:before="260"/>
      </w:pPr>
      <w:r>
        <w:rPr>
          <w:rFonts w:ascii="Inter" w:cs="Inter" w:eastAsia="Inter" w:hAnsi="Inter"/>
          <w:b/>
          <w:bCs/>
          <w:i w:val="false"/>
          <w:iCs w:val="false"/>
          <w:color w:val="595959"/>
          <w:sz w:val="24"/>
          <w:szCs w:val="24"/>
        </w:rPr>
        <w:t xml:space="preserve">14. Physical security and information transfer</w:t>
      </w:r>
    </w:p>
    <w:p>
      <w:pPr>
        <w:spacing w:after="120" w:line="264"/>
      </w:pPr>
      <w:r>
        <w:rPr>
          <w:rFonts w:ascii="Inter" w:cs="Inter" w:eastAsia="Inter" w:hAnsi="Inter"/>
          <w:b w:val="false"/>
          <w:bCs w:val="false"/>
          <w:i w:val="false"/>
          <w:iCs w:val="false"/>
          <w:color w:val="000000"/>
          <w:sz w:val="21"/>
          <w:szCs w:val="21"/>
        </w:rPr>
        <w:t>The Supplier shall apply physical security controls commensurate with the classification of the Information, and shall protect the Information during physical transfer and logical transmission using controls agreed with [YOUR ORGANISATION].</w:t>
      </w:r>
    </w:p>
    <w:p>
      <w:pPr>
        <w:pStyle w:val="Heading2"/>
        <w:spacing w:after="110" w:before="260"/>
      </w:pPr>
      <w:r>
        <w:rPr>
          <w:rFonts w:ascii="Inter" w:cs="Inter" w:eastAsia="Inter" w:hAnsi="Inter"/>
          <w:b/>
          <w:bCs/>
          <w:i w:val="false"/>
          <w:iCs w:val="false"/>
          <w:color w:val="595959"/>
          <w:sz w:val="24"/>
          <w:szCs w:val="24"/>
        </w:rPr>
        <w:t xml:space="preserve">15. Contacts</w:t>
      </w:r>
    </w:p>
    <w:p>
      <w:pPr>
        <w:spacing w:after="120" w:line="264"/>
      </w:pPr>
      <w:r>
        <w:rPr>
          <w:rFonts w:ascii="Inter" w:cs="Inter" w:eastAsia="Inter" w:hAnsi="Inter"/>
          <w:b w:val="false"/>
          <w:bCs w:val="false"/>
          <w:i w:val="false"/>
          <w:iCs w:val="false"/>
          <w:color w:val="000000"/>
          <w:sz w:val="21"/>
          <w:szCs w:val="21"/>
        </w:rPr>
        <w:t>Each party shall nominate a contact person for information security matters under this Schedule and shall keep those details current. [YOUR ORGANISATION]: [CONTACT]. Supplier: [CONTACT].</w:t>
      </w:r>
    </w:p>
    <w:p>
      <w:pPr>
        <w:pStyle w:val="Heading2"/>
        <w:spacing w:after="110" w:before="260"/>
      </w:pPr>
      <w:r>
        <w:rPr>
          <w:rFonts w:ascii="Inter" w:cs="Inter" w:eastAsia="Inter" w:hAnsi="Inter"/>
          <w:b/>
          <w:bCs/>
          <w:i w:val="false"/>
          <w:iCs w:val="false"/>
          <w:color w:val="595959"/>
          <w:sz w:val="24"/>
          <w:szCs w:val="24"/>
        </w:rPr>
        <w:t xml:space="preserve">16. Indemnity, defect and conflict resolution</w:t>
      </w:r>
    </w:p>
    <w:p>
      <w:pPr>
        <w:spacing w:after="120" w:line="264"/>
      </w:pPr>
      <w:r>
        <w:rPr>
          <w:rFonts w:ascii="Inter" w:cs="Inter" w:eastAsia="Inter" w:hAnsi="Inter"/>
          <w:b w:val="false"/>
          <w:bCs w:val="false"/>
          <w:i w:val="false"/>
          <w:iCs w:val="false"/>
          <w:color w:val="000000"/>
          <w:sz w:val="21"/>
          <w:szCs w:val="21"/>
        </w:rPr>
        <w:t>The Supplier shall indemnify [YOUR ORGANISATION] against [losses] arising from the Supplier's failure to meet the requirements of this Schedule. The parties shall follow the defect resolution and conflict resolution processes set out at [REFERENCE].</w:t>
      </w:r>
    </w:p>
    <w:p>
      <w:pPr>
        <w:pStyle w:val="Heading2"/>
        <w:spacing w:after="110" w:before="260"/>
      </w:pPr>
      <w:r>
        <w:rPr>
          <w:rFonts w:ascii="Inter" w:cs="Inter" w:eastAsia="Inter" w:hAnsi="Inter"/>
          <w:b/>
          <w:bCs/>
          <w:i w:val="false"/>
          <w:iCs w:val="false"/>
          <w:color w:val="595959"/>
          <w:sz w:val="24"/>
          <w:szCs w:val="24"/>
        </w:rPr>
        <w:t xml:space="preserve">17. Termination and exit</w:t>
      </w:r>
    </w:p>
    <w:p>
      <w:pPr>
        <w:spacing w:after="120" w:line="264"/>
      </w:pPr>
      <w:r>
        <w:rPr>
          <w:rFonts w:ascii="Inter" w:cs="Inter" w:eastAsia="Inter" w:hAnsi="Inter"/>
          <w:b w:val="false"/>
          <w:bCs w:val="false"/>
          <w:i w:val="false"/>
          <w:iCs w:val="false"/>
          <w:color w:val="000000"/>
          <w:sz w:val="21"/>
          <w:szCs w:val="21"/>
        </w:rPr>
        <w:t>On termination or expiry the Supplier shall: return or securely destroy the Information at [YOUR ORGANISATION]'s election and confirm in writing that it has done so; return all assets belonging to [YOUR ORGANISATION]; comply with the records management requirements at [REFERENCE]; and provide reasonable handover support to [YOUR ORGANISATION] or to a replacement supplier. Confidentiality obligations survive termination indefinitely.</w:t>
      </w:r>
    </w:p>
    <w:p>
      <w:pPr>
        <w:pStyle w:val="Heading2"/>
        <w:spacing w:after="110" w:before="260"/>
      </w:pPr>
      <w:r>
        <w:rPr>
          <w:rFonts w:ascii="Inter" w:cs="Inter" w:eastAsia="Inter" w:hAnsi="Inter"/>
          <w:b/>
          <w:bCs/>
          <w:i w:val="false"/>
          <w:iCs w:val="false"/>
          <w:color w:val="595959"/>
          <w:sz w:val="24"/>
          <w:szCs w:val="24"/>
        </w:rPr>
        <w:t xml:space="preserve">18. Secure destruction on request</w:t>
      </w:r>
    </w:p>
    <w:p>
      <w:pPr>
        <w:spacing w:after="120" w:line="264"/>
      </w:pPr>
      <w:r>
        <w:rPr>
          <w:rFonts w:ascii="Inter" w:cs="Inter" w:eastAsia="Inter" w:hAnsi="Inter"/>
          <w:b w:val="false"/>
          <w:bCs w:val="false"/>
          <w:i w:val="false"/>
          <w:iCs w:val="false"/>
          <w:color w:val="000000"/>
          <w:sz w:val="21"/>
          <w:szCs w:val="21"/>
        </w:rPr>
        <w:t xml:space="preserve">The Supplier shall provide a method of securely destroying the Information held by it as soon as it is no longer required for the purposes of the agreement, and shall confirm destruction in writing on request.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Appendix 1 - Minimum control requirements</w:t>
      </w:r>
    </w:p>
    <w:p>
      <w:pPr>
        <w:spacing w:after="120" w:line="264"/>
      </w:pPr>
      <w:r>
        <w:rPr>
          <w:rFonts w:ascii="Inter" w:cs="Inter" w:eastAsia="Inter" w:hAnsi="Inter"/>
          <w:b w:val="false"/>
          <w:bCs w:val="false"/>
          <w:i w:val="false"/>
          <w:iCs w:val="false"/>
          <w:color w:val="000000"/>
          <w:sz w:val="21"/>
          <w:szCs w:val="21"/>
        </w:rPr>
        <w:t xml:space="preserve">Complete per supplier tier. The controls listed are those most often required contractually; align them to the Statement of Applicability rather than choosing them independently.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2708"/>
        <w:gridCol w:w="1264"/>
        <w:gridCol w:w="1986"/>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Control area</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Minimum requirement</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Applies to tier</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Evidence required</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control and MFA</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1, 2</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Encryption in transit and at rest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1, 2</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Personnel screening</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awareness training</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1, 2</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Vulnerability and patch management with SLAs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1, 2</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Logging, monitoring and retention</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Backup and tested restore</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Business continuity and alternate facility</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development, if software is produced</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notification within [24] hours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1, 2, 3</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Independent assurance report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Data location and transfer restrictions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1, 2</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Appendix 2 - Agreement register</w:t>
      </w:r>
    </w:p>
    <w:p>
      <w:pPr>
        <w:spacing w:after="120" w:line="264"/>
      </w:pPr>
      <w:r>
        <w:rPr>
          <w:rFonts w:ascii="Inter" w:cs="Inter" w:eastAsia="Inter" w:hAnsi="Inter"/>
          <w:b w:val="false"/>
          <w:bCs w:val="false"/>
          <w:i w:val="false"/>
          <w:iCs w:val="false"/>
          <w:color w:val="000000"/>
          <w:sz w:val="21"/>
          <w:szCs w:val="21"/>
        </w:rPr>
        <w:t xml:space="preserve">A.5.20 expects a register of agreements with external parties, so the organisation can keep track of where its information is going, and expects those agreements to be reviewed, validated and updated so that they remain necessary and fit for purpose. That register is workbook tab 22.</w:t>
      </w:r>
    </w:p>
    <w:p>
      <w:pPr>
        <w:spacing w:after="120" w:line="264"/>
      </w:pPr>
      <w:r>
        <w:rPr>
          <w:rFonts w:ascii="Inter" w:cs="Inter" w:eastAsia="Inter" w:hAnsi="Inter"/>
          <w:b w:val="false"/>
          <w:bCs w:val="false"/>
          <w:i/>
          <w:iCs/>
          <w:color w:val="808080"/>
          <w:sz w:val="18"/>
          <w:szCs w:val="18"/>
        </w:rPr>
        <w:t xml:space="preserve">The ISO/IEC 27036 series covers supplier relationships in depth, and the ISO/IEC 19086 series covers cloud service agreements specifically.</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Contract Security Schedule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Security Schedule</dc:title>
  <dc:creator>Sameer Khairkar</dc:creator>
  <dc:description>ISO/IEC 27001:2022 A.5.19 to A.5.22. Free template from sameerkhairkar.com. Practitioner material, not legal advice.</dc:description>
  <cp:lastModifiedBy>Sameer Khairkar</cp:lastModifiedBy>
  <cp:revision>1</cp:revision>
  <dcterms:created xsi:type="dcterms:W3CDTF">2026-08-10T11:40:20.225Z</dcterms:created>
  <dcterms:modified xsi:type="dcterms:W3CDTF">2026-08-10T11:40:20.225Z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