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pPr>
        <w:spacing w:after="60"/>
        <w:jc w:val="left"/>
      </w:pPr>
      <w:r>
        <w:rPr>
          <w:rFonts w:ascii="Inter" w:cs="Inter" w:eastAsia="Inter" w:hAnsi="Inter"/>
          <w:b/>
          <w:bCs/>
          <w:i w:val="false"/>
          <w:iCs w:val="false"/>
          <w:color w:val="595959"/>
          <w:sz w:val="22"/>
          <w:szCs w:val="22"/>
        </w:rPr>
        <w:t>Free ISO 27001 kit  ·  sameerkhairkar.com</w:t>
      </w:r>
    </w:p>
    <w:p>
      <w:pPr>
        <w:pBdr>
          <w:bottom w:val="single" w:color="D9D9D9" w:sz="12" w:space="6"/>
        </w:pBdr>
        <w:spacing w:after="300"/>
        <w:jc w:val="left"/>
      </w:pPr>
      <w:r>
        <w:rPr>
          <w:rFonts w:ascii="Inter" w:cs="Inter" w:eastAsia="Inter" w:hAnsi="Inter"/>
          <w:b w:val="false"/>
          <w:bCs w:val="false"/>
          <w:i w:val="false"/>
          <w:iCs w:val="false"/>
          <w:color w:val="808080"/>
          <w:sz w:val="19"/>
          <w:szCs w:val="19"/>
        </w:rPr>
        <w:t xml:space="preserve">ISO/IEC 27001:2022 Implementation Kit</w:t>
      </w:r>
    </w:p>
    <w:p>
      <w:pPr>
        <w:spacing w:after="100"/>
      </w:pPr>
      <w:r>
        <w:rPr>
          <w:rFonts w:ascii="Inter" w:cs="Inter" w:eastAsia="Inter" w:hAnsi="Inter"/>
          <w:b/>
          <w:bCs/>
          <w:i w:val="false"/>
          <w:iCs w:val="false"/>
          <w:color w:val="1A1A1A"/>
          <w:sz w:val="44"/>
          <w:szCs w:val="44"/>
        </w:rPr>
        <w:t xml:space="preserve">Incident Response Plan and Runbooks</w:t>
      </w:r>
    </w:p>
    <w:p>
      <w:pPr>
        <w:spacing w:after="400"/>
      </w:pPr>
      <w:r>
        <w:rPr>
          <w:rFonts w:ascii="Inter" w:cs="Inter" w:eastAsia="Inter" w:hAnsi="Inter"/>
          <w:b w:val="false"/>
          <w:bCs w:val="false"/>
          <w:i w:val="false"/>
          <w:iCs w:val="false"/>
          <w:color w:val="595959"/>
          <w:sz w:val="24"/>
          <w:szCs w:val="24"/>
        </w:rPr>
        <w:t xml:space="preserve">ISO/IEC 27001:2022 A.5.24 to A.5.28</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Organisation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ORGANISATION]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type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Operational plan - must exist before an incident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reference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[DOC-REF]</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 draft]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[AUTHOR NAME AND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Approval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 normally 12 months]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 Confidential]</w:t>
            </w:r>
          </w:p>
        </w:tc>
      </w:tr>
    </w:tbl>
    <w:p>
      <w:r>
        <w:rPr>
          <w:rFonts w:ascii="Inter" w:cs="Inter" w:eastAsia="Inter" w:hAnsi="Inter"/>
          <w:b w:val="false"/>
          <w:bCs w:val="false"/>
          <w:i w:val="false"/>
          <w:iCs w:val="false"/>
          <w:color w:val="000000"/>
          <w:sz w:val="21"/>
          <w:szCs w:val="21"/>
        </w:rPr>
        <w:t xml:space="preserve"/>
      </w:r>
    </w:p>
    <w:p>
      <w:pPr>
        <w:spacing w:after="120" w:line="264"/>
      </w:pPr>
      <w:r>
        <w:rPr>
          <w:rFonts w:ascii="Inter" w:cs="Inter" w:eastAsia="Inter" w:hAnsi="Inter"/>
          <w:b w:val="false"/>
          <w:bCs w:val="false"/>
          <w:i/>
          <w:iCs/>
          <w:color w:val="808080"/>
          <w:sz w:val="17"/>
          <w:szCs w:val="17"/>
        </w:rPr>
        <w:t>This is a free template. Text in [square brackets] must be completed or deleted before the document is issued. Shaded GUIDANCE boxes are notes to whoever is filling it in and must be deleted before issue.</w:t>
      </w:r>
    </w:p>
    <w:p>
      <w:r>
        <w:br w:type="page"/>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This is the plan that A.5.24 requires to exist BEFORE an incident. The Incident Management Policy states the rules; this states what people actually do at 2am. Keep it short enough to be usable under pressure - if it is longer than about fifteen pages, nobody will open it during an incident.</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 Purpose and activation</w:t>
      </w:r>
    </w:p>
    <w:p>
      <w:pPr>
        <w:spacing w:after="120" w:line="264"/>
      </w:pPr>
      <w:r>
        <w:rPr>
          <w:rFonts w:ascii="Inter" w:cs="Inter" w:eastAsia="Inter" w:hAnsi="Inter"/>
          <w:b w:val="false"/>
          <w:bCs w:val="false"/>
          <w:i w:val="false"/>
          <w:iCs w:val="false"/>
          <w:color w:val="000000"/>
          <w:sz w:val="21"/>
          <w:szCs w:val="21"/>
        </w:rPr>
        <w:t>This plan sets out how [YOUR ORGANISATION] responds to information security incidents. It is activated when an event is triaged as an incident under section 3.</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rPr>
          <w:tblHeader/>
        </w:trPr>
        <w:tc>
          <w:tcPr>
            <w:tcW w:type="dxa" w:w="27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Item</w:t>
            </w:r>
          </w:p>
        </w:tc>
        <w:tc>
          <w:tcPr>
            <w:tcW w:type="dxa" w:w="631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Detail</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[Incident Response Lead]</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 and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 [DATE]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Tested</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of last exercise]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test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Where the offline copy lives</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[LOCATION - this plan must be readable when systems are down]</w:t>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2. Roles</w:t>
      </w:r>
    </w:p>
    <w:p>
      <w:pPr>
        <w:spacing w:after="120" w:line="264"/>
      </w:pPr>
      <w:r>
        <w:rPr>
          <w:rFonts w:ascii="Inter" w:cs="Inter" w:eastAsia="Inter" w:hAnsi="Inter"/>
          <w:b w:val="false"/>
          <w:bCs w:val="false"/>
          <w:i w:val="false"/>
          <w:iCs w:val="false"/>
          <w:color w:val="000000"/>
          <w:sz w:val="21"/>
          <w:szCs w:val="21"/>
        </w:rPr>
        <w:t xml:space="preserve">Only competent personnel handle incidents. Each role below has documented procedures and receives periodic training; competence is tracked on workbook tab 12.</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05"/>
        <w:gridCol w:w="1354"/>
        <w:gridCol w:w="4062"/>
        <w:gridCol w:w="1805"/>
      </w:tblGrid>
      <w:tr>
        <w:trPr>
          <w:tblHeader/>
        </w:trPr>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Role</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Who</w:t>
            </w:r>
          </w:p>
        </w:tc>
        <w:tc>
          <w:tcPr>
            <w:tcW w:type="dxa" w:w="406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Responsibility during an incident</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Contactable via</w:t>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Incident Response Lead</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 rota]</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Runs the response, decides severity, decides escalation</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[CHANNEL]</w:t>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Technical responders</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[TEAM]</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Containment, eradication, recovery, evidence collection</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[CHANNEL]</w:t>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Communications lead</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internal and external messaging; single spokesperson</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[CHANNEL]</w:t>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DPO / Legal</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Regulatory notification assessment, legal privilege, law enforcement</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[CHANNEL]</w:t>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Contract owner</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Customer notification obligations</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[CHANNEL]</w:t>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Top management sponsor</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Crisis decisions, resource release, external authority</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[CHANNEL]</w:t>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Scribe</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Timeline and decision log - appointed at the start, not retrospectively</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[CHANNEL]</w:t>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Appointing a scribe in the first five minutes is the single highest-value thing in this plan. Every post-incident review, every regulatory notification and every customer question depends on a timeline nobody can reconstruct afterwards.</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3. Severity and triage</w:t>
      </w:r>
    </w:p>
    <w:p>
      <w:pPr>
        <w:spacing w:after="120" w:line="264"/>
      </w:pPr>
      <w:r>
        <w:rPr>
          <w:rFonts w:ascii="Inter" w:cs="Inter" w:eastAsia="Inter" w:hAnsi="Inter"/>
          <w:b w:val="false"/>
          <w:bCs w:val="false"/>
          <w:i w:val="false"/>
          <w:iCs w:val="false"/>
          <w:color w:val="000000"/>
          <w:sz w:val="21"/>
          <w:szCs w:val="21"/>
        </w:rPr>
        <w:t xml:space="preserve">Every reported event is assessed against the criteria below and either closed as an event or declared an incident with a severity. The triage decision is recorded either way, including decisions to take no action.</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354"/>
        <w:gridCol w:w="3340"/>
        <w:gridCol w:w="1444"/>
        <w:gridCol w:w="1444"/>
        <w:gridCol w:w="1444"/>
      </w:tblGrid>
      <w:tr>
        <w:trPr>
          <w:tblHeader/>
        </w:trPr>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Severity</w:t>
            </w:r>
          </w:p>
        </w:tc>
        <w:tc>
          <w:tcPr>
            <w:tcW w:type="dxa" w:w="334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Criteria</w:t>
            </w:r>
          </w:p>
        </w:tc>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Response time</w:t>
            </w:r>
          </w:p>
        </w:tc>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Escalate to</w:t>
            </w:r>
          </w:p>
        </w:tc>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Comms</w:t>
            </w:r>
          </w:p>
        </w:tc>
      </w:tr>
      <w:tr>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SEV1 - Critical</w:t>
            </w:r>
          </w:p>
        </w:tc>
        <w:tc>
          <w:tcPr>
            <w:tcW w:type="dxa" w:w="334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Confirmed loss of confidentiality, integrity or availability affecting customer data or a critical service; ransomware; active intrusion</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Immediate, 24/7</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Top management; crisis team</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Prepared holding statement; customer and regulator assessment starts immediately</w:t>
            </w:r>
          </w:p>
        </w:tc>
      </w:tr>
      <w:tr>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SEV2 - High</w:t>
            </w:r>
          </w:p>
        </w:tc>
        <w:tc>
          <w:tcPr>
            <w:tcW w:type="dxa" w:w="334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Credible threat to customer data or a critical service; significant internal compromise</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Within [1 hour] in business hours</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 sponsor informed</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external assessed</w:t>
            </w:r>
          </w:p>
        </w:tc>
      </w:tr>
      <w:tr>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SEV3 - Medium</w:t>
            </w:r>
          </w:p>
        </w:tc>
        <w:tc>
          <w:tcPr>
            <w:tcW w:type="dxa" w:w="334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Contained compromise with no customer data involved; policy breach with real risk</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Within [4 hours]</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only</w:t>
            </w:r>
          </w:p>
        </w:tc>
      </w:tr>
      <w:tr>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SEV4 - Low</w:t>
            </w:r>
          </w:p>
        </w:tc>
        <w:tc>
          <w:tcPr>
            <w:tcW w:type="dxa" w:w="334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Minor or suspected event, no confirmed impact</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working day</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Line management</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None</w:t>
            </w:r>
          </w:p>
        </w:tc>
      </w:tr>
    </w:tbl>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Regulatory clock trigger: </w:t>
      </w:r>
      <w:r>
        <w:rPr>
          <w:rFonts w:ascii="Inter" w:cs="Inter" w:eastAsia="Inter" w:hAnsi="Inter"/>
          <w:b w:val="false"/>
          <w:bCs w:val="false"/>
          <w:i/>
          <w:iCs/>
          <w:color w:val="595959"/>
          <w:sz w:val="21"/>
          <w:szCs w:val="21"/>
        </w:rPr>
        <w:t xml:space="preserve">[State exactly what starts the 72-hour clock under applicable data protection law, and who decides that awareness has occurred. Getting this wrong is expensive.]</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4. Response phases</w:t>
      </w:r>
    </w:p>
    <w:p>
      <w:pPr>
        <w:spacing w:after="120" w:line="264"/>
      </w:pPr>
      <w:r>
        <w:rPr>
          <w:rFonts w:ascii="Inter" w:cs="Inter" w:eastAsia="Inter" w:hAnsi="Inter"/>
          <w:b w:val="false"/>
          <w:bCs w:val="false"/>
          <w:i w:val="false"/>
          <w:iCs w:val="false"/>
          <w:color w:val="000000"/>
          <w:sz w:val="21"/>
          <w:szCs w:val="21"/>
        </w:rPr>
        <w:t xml:space="preserve">The phases below follow the response activities A.5.26 expects. They overlap in practice; the order is a priority order, not a schedule.</w:t>
      </w:r>
    </w:p>
    <w:p>
      <w:pPr>
        <w:pStyle w:val="Heading2"/>
        <w:spacing w:after="110" w:before="260"/>
      </w:pPr>
      <w:r>
        <w:rPr>
          <w:rFonts w:ascii="Inter" w:cs="Inter" w:eastAsia="Inter" w:hAnsi="Inter"/>
          <w:b/>
          <w:bCs/>
          <w:i w:val="false"/>
          <w:iCs w:val="false"/>
          <w:color w:val="595959"/>
          <w:sz w:val="24"/>
          <w:szCs w:val="24"/>
        </w:rPr>
        <w:t xml:space="preserve">4.1 Contain</w:t>
      </w:r>
    </w:p>
    <w:p>
      <w:pPr>
        <w:spacing w:after="120" w:line="264"/>
      </w:pPr>
      <w:r>
        <w:rPr>
          <w:rFonts w:ascii="Inter" w:cs="Inter" w:eastAsia="Inter" w:hAnsi="Inter"/>
          <w:b w:val="false"/>
          <w:bCs w:val="false"/>
          <w:i w:val="false"/>
          <w:iCs w:val="false"/>
          <w:color w:val="000000"/>
          <w:sz w:val="21"/>
          <w:szCs w:val="21"/>
        </w:rPr>
        <w:t xml:space="preserve">Stop the spread before understanding the cause. Isolate affected systems, disable compromised accounts, block indicators.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Identify affected systems, accounts and data.</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Isolate rather than power off, so that volatile evidence survives, unless there is a safety or spread reason not to.</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Disable compromised credentials and revoke sessions and tokens.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Record every containment action with a timestamp.</w:t>
      </w:r>
    </w:p>
    <w:p>
      <w:pPr>
        <w:pStyle w:val="Heading2"/>
        <w:spacing w:after="110" w:before="260"/>
      </w:pPr>
      <w:r>
        <w:rPr>
          <w:rFonts w:ascii="Inter" w:cs="Inter" w:eastAsia="Inter" w:hAnsi="Inter"/>
          <w:b/>
          <w:bCs/>
          <w:i w:val="false"/>
          <w:iCs w:val="false"/>
          <w:color w:val="595959"/>
          <w:sz w:val="24"/>
          <w:szCs w:val="24"/>
        </w:rPr>
        <w:t xml:space="preserve">4.2 Preserve evidence</w:t>
      </w:r>
    </w:p>
    <w:p>
      <w:pPr>
        <w:spacing w:after="120" w:line="264"/>
      </w:pPr>
      <w:r>
        <w:rPr>
          <w:rFonts w:ascii="Inter" w:cs="Inter" w:eastAsia="Inter" w:hAnsi="Inter"/>
          <w:b w:val="false"/>
          <w:bCs w:val="false"/>
          <w:i w:val="false"/>
          <w:iCs w:val="false"/>
          <w:color w:val="000000"/>
          <w:sz w:val="21"/>
          <w:szCs w:val="21"/>
        </w:rPr>
        <w:t xml:space="preserve">Collect evidence as soon as possible after the occurrence, per A.5.28.</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Capture volatile data before it is lost - memory, live connections, running processes.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Image affected systems where the incident may lead to legal action or law enforcement involvement.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Preserve logs beyond their normal retention for the systems involved.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Maintain chain of custody on anything that may become evidence.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Engage [FORENSIC RETAINER] where specialist capability is needed.</w:t>
      </w:r>
    </w:p>
    <w:p>
      <w:pPr>
        <w:pStyle w:val="Heading2"/>
        <w:spacing w:after="110" w:before="260"/>
      </w:pPr>
      <w:r>
        <w:rPr>
          <w:rFonts w:ascii="Inter" w:cs="Inter" w:eastAsia="Inter" w:hAnsi="Inter"/>
          <w:b/>
          <w:bCs/>
          <w:i w:val="false"/>
          <w:iCs w:val="false"/>
          <w:color w:val="595959"/>
          <w:sz w:val="24"/>
          <w:szCs w:val="24"/>
        </w:rPr>
        <w:t xml:space="preserve">4.3 Escalate</w:t>
      </w:r>
    </w:p>
    <w:p>
      <w:pPr>
        <w:spacing w:after="120" w:line="264"/>
      </w:pPr>
      <w:r>
        <w:rPr>
          <w:rFonts w:ascii="Inter" w:cs="Inter" w:eastAsia="Inter" w:hAnsi="Inter"/>
          <w:b w:val="false"/>
          <w:bCs w:val="false"/>
          <w:i w:val="false"/>
          <w:iCs w:val="false"/>
          <w:color w:val="000000"/>
          <w:sz w:val="21"/>
          <w:szCs w:val="21"/>
        </w:rPr>
        <w:t xml:space="preserve">Escalate as required, including activating crisis management and, where relevant, business continuity plans.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Confirm severity with the Incident Response Lead.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Activate the crisis team for SEV1.</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Consider whether the continuity plans should be invoked - see the Business Continuity and ICT Recovery Plan.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Notify the top management sponsor.</w:t>
      </w:r>
    </w:p>
    <w:p>
      <w:pPr>
        <w:pStyle w:val="Heading2"/>
        <w:spacing w:after="110" w:before="260"/>
      </w:pPr>
      <w:r>
        <w:rPr>
          <w:rFonts w:ascii="Inter" w:cs="Inter" w:eastAsia="Inter" w:hAnsi="Inter"/>
          <w:b/>
          <w:bCs/>
          <w:i w:val="false"/>
          <w:iCs w:val="false"/>
          <w:color w:val="595959"/>
          <w:sz w:val="24"/>
          <w:szCs w:val="24"/>
        </w:rPr>
        <w:t xml:space="preserve">4.4 Communicate</w:t>
      </w:r>
    </w:p>
    <w:p>
      <w:pPr>
        <w:spacing w:after="120" w:line="264"/>
      </w:pPr>
      <w:r>
        <w:rPr>
          <w:rFonts w:ascii="Inter" w:cs="Inter" w:eastAsia="Inter" w:hAnsi="Inter"/>
          <w:b w:val="false"/>
          <w:bCs w:val="false"/>
          <w:i w:val="false"/>
          <w:iCs w:val="false"/>
          <w:color w:val="000000"/>
          <w:sz w:val="21"/>
          <w:szCs w:val="21"/>
        </w:rPr>
        <w:t xml:space="preserve">Communicate the incident and relevant details to internal and external interested parties on a need-to-know basis.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Single spokesperson only. Nobody else speaks externally.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Use the prepared holding statements in Annex B rather than improvising.</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Assess regulatory notification with the DPO - the clock does not pause for investigation.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Assess customer notification obligations with the contract owner.</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Coordinate with authorities, CERTs, suppliers and affected customers where it improves the response or reduces harm to others.</w:t>
      </w:r>
    </w:p>
    <w:p>
      <w:pPr>
        <w:pStyle w:val="Heading2"/>
        <w:spacing w:after="110" w:before="260"/>
      </w:pPr>
      <w:r>
        <w:rPr>
          <w:rFonts w:ascii="Inter" w:cs="Inter" w:eastAsia="Inter" w:hAnsi="Inter"/>
          <w:b/>
          <w:bCs/>
          <w:i w:val="false"/>
          <w:iCs w:val="false"/>
          <w:color w:val="595959"/>
          <w:sz w:val="24"/>
          <w:szCs w:val="24"/>
        </w:rPr>
        <w:t xml:space="preserve">4.5 Eradicate and recover</w:t>
      </w:r>
    </w:p>
    <w:p>
      <w:pPr>
        <w:spacing w:after="120" w:line="264"/>
      </w:pPr>
      <w:r>
        <w:rPr>
          <w:rFonts w:ascii="Inter" w:cs="Inter" w:eastAsia="Inter" w:hAnsi="Inter"/>
          <w:b w:val="false"/>
          <w:bCs w:val="false"/>
          <w:i w:val="false"/>
          <w:iCs w:val="false"/>
          <w:color w:val="000000"/>
          <w:sz w:val="21"/>
          <w:szCs w:val="21"/>
        </w:rPr>
        <w:t xml:space="preserve">Remove the cause and restore service at a known-good state.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Remove the attacker foothold, malicious code, or the misconfiguration.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Rebuild rather than clean where there is any doubt.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Restore from backups verified as pre-compromise.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Confirm security controls are operating before returning the system to service.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Monitor closely for recurrence for [defined period].</w:t>
      </w:r>
    </w:p>
    <w:p>
      <w:pPr>
        <w:pStyle w:val="Heading2"/>
        <w:spacing w:after="110" w:before="260"/>
      </w:pPr>
      <w:r>
        <w:rPr>
          <w:rFonts w:ascii="Inter" w:cs="Inter" w:eastAsia="Inter" w:hAnsi="Inter"/>
          <w:b/>
          <w:bCs/>
          <w:i w:val="false"/>
          <w:iCs w:val="false"/>
          <w:color w:val="595959"/>
          <w:sz w:val="24"/>
          <w:szCs w:val="24"/>
        </w:rPr>
        <w:t xml:space="preserve">4.6 Close</w:t>
      </w:r>
    </w:p>
    <w:p>
      <w:pPr>
        <w:spacing w:after="120" w:line="264"/>
      </w:pPr>
      <w:r>
        <w:rPr>
          <w:rFonts w:ascii="Inter" w:cs="Inter" w:eastAsia="Inter" w:hAnsi="Inter"/>
          <w:b w:val="false"/>
          <w:bCs w:val="false"/>
          <w:i w:val="false"/>
          <w:iCs w:val="false"/>
          <w:color w:val="000000"/>
          <w:sz w:val="21"/>
          <w:szCs w:val="21"/>
        </w:rPr>
        <w:t xml:space="preserve">Formally close and record the incident once it has been successfully addressed.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Confirm containment and recovery are complete and verified.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Complete the incident record, including the full timeline.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Close formally with the Incident Response Lead's sign-off.</w:t>
      </w:r>
    </w:p>
    <w:p>
      <w:pPr>
        <w:pStyle w:val="Heading2"/>
        <w:spacing w:after="110" w:before="260"/>
      </w:pPr>
      <w:r>
        <w:rPr>
          <w:rFonts w:ascii="Inter" w:cs="Inter" w:eastAsia="Inter" w:hAnsi="Inter"/>
          <w:b/>
          <w:bCs/>
          <w:i w:val="false"/>
          <w:iCs w:val="false"/>
          <w:color w:val="595959"/>
          <w:sz w:val="24"/>
          <w:szCs w:val="24"/>
        </w:rPr>
        <w:t xml:space="preserve">4.7 Learn</w:t>
      </w:r>
    </w:p>
    <w:p>
      <w:pPr>
        <w:spacing w:after="120" w:line="264"/>
      </w:pPr>
      <w:r>
        <w:rPr>
          <w:rFonts w:ascii="Inter" w:cs="Inter" w:eastAsia="Inter" w:hAnsi="Inter"/>
          <w:b w:val="false"/>
          <w:bCs w:val="false"/>
          <w:i w:val="false"/>
          <w:iCs w:val="false"/>
          <w:color w:val="000000"/>
          <w:sz w:val="21"/>
          <w:szCs w:val="21"/>
        </w:rPr>
        <w:t xml:space="preserve">Post-incident analysis to identify root cause, and to find the control weaknesses that let it happen.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Post-incident review within [10 working days] for SEV1 and SEV2.</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Identify root cause, not just the proximate trigger.</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Identify vulnerabilities and weaknesses - including controls that caused, contributed to, or failed to prevent the incident.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Raise improvement actions on the corrective action log (tab 19) or the continual improvement log (tab 25).</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Feed detection gaps into monitoring under A.8.16, and feed the scenario into the next exercise.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Update the risk register where the incident changed your view of likelihood or consequence.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5. Runbooks</w:t>
      </w:r>
    </w:p>
    <w:p>
      <w:pPr>
        <w:spacing w:after="120" w:line="264"/>
      </w:pPr>
      <w:r>
        <w:rPr>
          <w:rFonts w:ascii="Inter" w:cs="Inter" w:eastAsia="Inter" w:hAnsi="Inter"/>
          <w:b w:val="false"/>
          <w:bCs w:val="false"/>
          <w:i w:val="false"/>
          <w:iCs w:val="false"/>
          <w:color w:val="000000"/>
          <w:sz w:val="21"/>
          <w:szCs w:val="21"/>
        </w:rPr>
        <w:t xml:space="preserve">Runbooks give the technical detail for the scenarios most likely to occur here. Each is deliberately short. Add, remove and rewrite them as the estate and the threat picture change.</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Write runbooks for scenarios you have assessed as credible in the risk register, not for a generic list. Five runbooks that match your actual risks beat twenty that do not.</w:t>
      </w:r>
    </w:p>
    <w:p>
      <w:pPr>
        <w:pStyle w:val="Heading3"/>
        <w:spacing w:after="90" w:before="200"/>
      </w:pPr>
      <w:r>
        <w:rPr>
          <w:rFonts w:ascii="Inter" w:cs="Inter" w:eastAsia="Inter" w:hAnsi="Inter"/>
          <w:b/>
          <w:bCs/>
          <w:i w:val="false"/>
          <w:iCs w:val="false"/>
          <w:color w:val="000000"/>
          <w:sz w:val="21"/>
          <w:szCs w:val="21"/>
        </w:rPr>
        <w:t xml:space="preserve">R1. Phishing with credential compromise</w:t>
      </w:r>
    </w:p>
    <w:p>
      <w:pPr>
        <w:spacing w:after="120" w:line="264"/>
      </w:pPr>
      <w:r>
        <w:rPr>
          <w:rFonts w:ascii="Inter" w:cs="Inter" w:eastAsia="Inter" w:hAnsi="Inter"/>
          <w:b w:val="false"/>
          <w:bCs w:val="false"/>
          <w:i w:val="false"/>
          <w:iCs w:val="false"/>
          <w:color w:val="000000"/>
          <w:sz w:val="21"/>
          <w:szCs w:val="21"/>
        </w:rPr>
        <w:t xml:space="preserve">Reset the credential and revoke all sessions and tokens. Check for mailbox rules, forwarding, OAuth grants and MFA device registrations added by the attacker. Review sign-in logs for other locations. Check whether the account had privileged rights or access to customer data. Search for other recipients of the same phish and pull it from mailboxes.</w:t>
      </w:r>
    </w:p>
    <w:p>
      <w:pPr>
        <w:pStyle w:val="Heading3"/>
        <w:spacing w:after="90" w:before="200"/>
      </w:pPr>
      <w:r>
        <w:rPr>
          <w:rFonts w:ascii="Inter" w:cs="Inter" w:eastAsia="Inter" w:hAnsi="Inter"/>
          <w:b/>
          <w:bCs/>
          <w:i w:val="false"/>
          <w:iCs w:val="false"/>
          <w:color w:val="000000"/>
          <w:sz w:val="21"/>
          <w:szCs w:val="21"/>
        </w:rPr>
        <w:t xml:space="preserve">R2. Ransomware</w:t>
      </w:r>
    </w:p>
    <w:p>
      <w:pPr>
        <w:spacing w:after="120" w:line="264"/>
      </w:pPr>
      <w:r>
        <w:rPr>
          <w:rFonts w:ascii="Inter" w:cs="Inter" w:eastAsia="Inter" w:hAnsi="Inter"/>
          <w:b w:val="false"/>
          <w:bCs w:val="false"/>
          <w:i w:val="false"/>
          <w:iCs w:val="false"/>
          <w:color w:val="000000"/>
          <w:sz w:val="21"/>
          <w:szCs w:val="21"/>
        </w:rPr>
        <w:t xml:space="preserve">Isolate affected hosts from the network immediately. Do not power off - preserve memory. Identify the variant and the initial access vector. Confirm the integrity and reachability of the offline or immutable backup copy before doing anything else. Assess whether data was exfiltrated as well as encrypted; assume it was until proven otherwise. Engage [FORENSIC RETAINER] and legal early. Do not communicate with the attacker without top management and legal agreement.</w:t>
      </w:r>
    </w:p>
    <w:p>
      <w:pPr>
        <w:pStyle w:val="Heading3"/>
        <w:spacing w:after="90" w:before="200"/>
      </w:pPr>
      <w:r>
        <w:rPr>
          <w:rFonts w:ascii="Inter" w:cs="Inter" w:eastAsia="Inter" w:hAnsi="Inter"/>
          <w:b/>
          <w:bCs/>
          <w:i w:val="false"/>
          <w:iCs w:val="false"/>
          <w:color w:val="000000"/>
          <w:sz w:val="21"/>
          <w:szCs w:val="21"/>
        </w:rPr>
        <w:t xml:space="preserve">R3. Lost or stolen device</w:t>
      </w:r>
    </w:p>
    <w:p>
      <w:pPr>
        <w:spacing w:after="120" w:line="264"/>
      </w:pPr>
      <w:r>
        <w:rPr>
          <w:rFonts w:ascii="Inter" w:cs="Inter" w:eastAsia="Inter" w:hAnsi="Inter"/>
          <w:b w:val="false"/>
          <w:bCs w:val="false"/>
          <w:i w:val="false"/>
          <w:iCs w:val="false"/>
          <w:color w:val="000000"/>
          <w:sz w:val="21"/>
          <w:szCs w:val="21"/>
        </w:rPr>
        <w:t xml:space="preserve">Trigger remote wipe through [MDM]. Confirm encryption was enabled on the device. Establish what was stored locally and whether it was cached credentials or company data. Revoke certificates, tokens and sessions issued to the device. Assess personal data exposure with the DPO.</w:t>
      </w:r>
    </w:p>
    <w:p>
      <w:pPr>
        <w:pStyle w:val="Heading3"/>
        <w:spacing w:after="90" w:before="200"/>
      </w:pPr>
      <w:r>
        <w:rPr>
          <w:rFonts w:ascii="Inter" w:cs="Inter" w:eastAsia="Inter" w:hAnsi="Inter"/>
          <w:b/>
          <w:bCs/>
          <w:i w:val="false"/>
          <w:iCs w:val="false"/>
          <w:color w:val="000000"/>
          <w:sz w:val="21"/>
          <w:szCs w:val="21"/>
        </w:rPr>
        <w:t xml:space="preserve">R4. Compromise at a supplier</w:t>
      </w:r>
    </w:p>
    <w:p>
      <w:pPr>
        <w:spacing w:after="120" w:line="264"/>
      </w:pPr>
      <w:r>
        <w:rPr>
          <w:rFonts w:ascii="Inter" w:cs="Inter" w:eastAsia="Inter" w:hAnsi="Inter"/>
          <w:b w:val="false"/>
          <w:bCs w:val="false"/>
          <w:i w:val="false"/>
          <w:iCs w:val="false"/>
          <w:color w:val="000000"/>
          <w:sz w:val="21"/>
          <w:szCs w:val="21"/>
        </w:rPr>
        <w:t xml:space="preserve">Establish what of our data the supplier holds, from the supplier register (tab 22). Invoke the contractual notification and cooperation clauses. Assess whether our credentials or integrations to them are compromised and rotate them. Assess our own notification obligations independently of the supplier's - their timeline is not ours.</w:t>
      </w:r>
    </w:p>
    <w:p>
      <w:pPr>
        <w:pStyle w:val="Heading3"/>
        <w:spacing w:after="90" w:before="200"/>
      </w:pPr>
      <w:r>
        <w:rPr>
          <w:rFonts w:ascii="Inter" w:cs="Inter" w:eastAsia="Inter" w:hAnsi="Inter"/>
          <w:b/>
          <w:bCs/>
          <w:i w:val="false"/>
          <w:iCs w:val="false"/>
          <w:color w:val="000000"/>
          <w:sz w:val="21"/>
          <w:szCs w:val="21"/>
        </w:rPr>
        <w:t xml:space="preserve">R5. Exposed cloud storage or misconfiguration</w:t>
      </w:r>
    </w:p>
    <w:p>
      <w:pPr>
        <w:spacing w:after="120" w:line="264"/>
      </w:pPr>
      <w:r>
        <w:rPr>
          <w:rFonts w:ascii="Inter" w:cs="Inter" w:eastAsia="Inter" w:hAnsi="Inter"/>
          <w:b w:val="false"/>
          <w:bCs w:val="false"/>
          <w:i w:val="false"/>
          <w:iCs w:val="false"/>
          <w:color w:val="000000"/>
          <w:sz w:val="21"/>
          <w:szCs w:val="21"/>
        </w:rPr>
        <w:t xml:space="preserve">Close the exposure first. Determine the exposure window from access logs and whether anything was accessed. Identify how the misconfiguration was introduced and why configuration monitoring did not catch it. Assess personal data exposure with the DPO.</w:t>
      </w:r>
    </w:p>
    <w:p>
      <w:pPr>
        <w:pStyle w:val="Heading3"/>
        <w:spacing w:after="90" w:before="200"/>
      </w:pPr>
      <w:r>
        <w:rPr>
          <w:rFonts w:ascii="Inter" w:cs="Inter" w:eastAsia="Inter" w:hAnsi="Inter"/>
          <w:b/>
          <w:bCs/>
          <w:i w:val="false"/>
          <w:iCs w:val="false"/>
          <w:color w:val="000000"/>
          <w:sz w:val="21"/>
          <w:szCs w:val="21"/>
        </w:rPr>
        <w:t xml:space="preserve">R6. Insider misuse of access</w:t>
      </w:r>
    </w:p>
    <w:p>
      <w:pPr>
        <w:spacing w:after="120" w:line="264"/>
      </w:pPr>
      <w:r>
        <w:rPr>
          <w:rFonts w:ascii="Inter" w:cs="Inter" w:eastAsia="Inter" w:hAnsi="Inter"/>
          <w:b w:val="false"/>
          <w:bCs w:val="false"/>
          <w:i w:val="false"/>
          <w:iCs w:val="false"/>
          <w:color w:val="000000"/>
          <w:sz w:val="21"/>
          <w:szCs w:val="21"/>
        </w:rPr>
        <w:t xml:space="preserve">Involve HR and Legal before acting - an early technical action can compromise a later employment or legal process. Preserve evidence. Consider whether to restrict rather than revoke access to avoid alerting. Chain of custody matters more here than in almost any other scenario.</w:t>
      </w:r>
    </w:p>
    <w:p>
      <w:pPr>
        <w:pStyle w:val="Heading3"/>
        <w:spacing w:after="90" w:before="200"/>
      </w:pPr>
      <w:r>
        <w:rPr>
          <w:rFonts w:ascii="Inter" w:cs="Inter" w:eastAsia="Inter" w:hAnsi="Inter"/>
          <w:b/>
          <w:bCs/>
          <w:i w:val="false"/>
          <w:iCs w:val="false"/>
          <w:color w:val="000000"/>
          <w:sz w:val="21"/>
          <w:szCs w:val="21"/>
        </w:rPr>
        <w:t xml:space="preserve">R7. Denial of service</w:t>
      </w:r>
    </w:p>
    <w:p>
      <w:pPr>
        <w:spacing w:after="120" w:line="264"/>
      </w:pPr>
      <w:r>
        <w:rPr>
          <w:rFonts w:ascii="Inter" w:cs="Inter" w:eastAsia="Inter" w:hAnsi="Inter"/>
          <w:b w:val="false"/>
          <w:bCs w:val="false"/>
          <w:i w:val="false"/>
          <w:iCs w:val="false"/>
          <w:color w:val="000000"/>
          <w:sz w:val="21"/>
          <w:szCs w:val="21"/>
        </w:rPr>
        <w:t xml:space="preserve">Confirm it is an attack rather than a capacity failure. Engage [PROVIDER / DDoS protection]. Communicate service status through the agreed channel. Consider whether the attack is cover for another intrusion, and check for it.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Annex A - Contacts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347"/>
        <w:gridCol w:w="1805"/>
        <w:gridCol w:w="2166"/>
        <w:gridCol w:w="2708"/>
      </w:tblGrid>
      <w:tr>
        <w:trPr>
          <w:tblHeader/>
        </w:trPr>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Role or organisation</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Name</w:t>
            </w:r>
          </w:p>
        </w:tc>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Contact</w:t>
            </w:r>
          </w:p>
        </w:tc>
        <w:tc>
          <w:tcPr>
            <w:tcW w:type="dxa" w:w="27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When to use</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Incident Response Lead</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Always</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Top management sponsor</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SEV1</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DPO</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Any personal data involvement</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Legal</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Legal exposure, law enforcement, privilege</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Forensic retainer</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SEV1, or any incident likely to reach litigation</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Cyber insurer</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 policy - often required before engaging responders</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[Data protection authority]</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Notifiable personal data breach</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[Sector regulator]</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 regulatory obligation</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[National CERT]</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Significant attack; sector-wide relevance</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Law enforcement</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Criminal activity, per Legal advice</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Key suppliers</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Where their service is involved</w:t>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Check the insurer row. Many cyber policies require the insurer to approve responders before you engage them, and paying for your own forensics can void cover. Confirm this with your insurer now, not at 2am.</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Annex B - Holding statements</w:t>
      </w:r>
    </w:p>
    <w:p>
      <w:pPr>
        <w:spacing w:after="120" w:line="264"/>
      </w:pPr>
      <w:r>
        <w:rPr>
          <w:rFonts w:ascii="Inter" w:cs="Inter" w:eastAsia="Inter" w:hAnsi="Inter"/>
          <w:b w:val="false"/>
          <w:bCs w:val="false"/>
          <w:i w:val="false"/>
          <w:iCs w:val="false"/>
          <w:color w:val="000000"/>
          <w:sz w:val="21"/>
          <w:szCs w:val="21"/>
        </w:rPr>
        <w:t xml:space="preserve">Pre-approved so that something accurate can be said quickly. Complete and get approval before an incident, not during one.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444"/>
        <w:gridCol w:w="7582"/>
      </w:tblGrid>
      <w:tr>
        <w:trPr>
          <w:tblHeader/>
        </w:trPr>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c>
          <w:tcPr>
            <w:tcW w:type="dxa" w:w="758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Holding statement</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Staff</w:t>
            </w:r>
          </w:p>
        </w:tc>
        <w:tc>
          <w:tcPr>
            <w:tcW w:type="dxa" w:w="758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[We are investigating a security issue affecting [SYSTEM]. Please [ACTION]. Do not discuss this externally. Further update by [TIME].]</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Customers</w:t>
            </w:r>
          </w:p>
        </w:tc>
        <w:tc>
          <w:tcPr>
            <w:tcW w:type="dxa" w:w="758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[We have identified an issue that may affect [SERVICE]. We are investigating and will update you by [TIME]. If you need to take action we will tell you directly.]</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Regulator - initial</w:t>
            </w:r>
          </w:p>
        </w:tc>
        <w:tc>
          <w:tcPr>
            <w:tcW w:type="dxa" w:w="758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[Factual initial notification: what happened, when we became aware, categories and approximate numbers affected, likely consequences, measures taken. State clearly where information is still being established.]</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Media</w:t>
            </w:r>
          </w:p>
        </w:tc>
        <w:tc>
          <w:tcPr>
            <w:tcW w:type="dxa" w:w="758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[Single spokesperson only. Refer all enquiries to [NAME].]</w:t>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Annex C - Exercise record</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625"/>
        <w:gridCol w:w="1805"/>
        <w:gridCol w:w="1444"/>
        <w:gridCol w:w="1534"/>
        <w:gridCol w:w="1534"/>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Type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Scenario</w:t>
            </w:r>
          </w:p>
        </w:tc>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Participants</w:t>
            </w:r>
          </w:p>
        </w:tc>
        <w:tc>
          <w:tcPr>
            <w:tcW w:type="dxa" w:w="153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failed</w:t>
            </w:r>
          </w:p>
        </w:tc>
        <w:tc>
          <w:tcPr>
            <w:tcW w:type="dxa" w:w="153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Improvements raised</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[Tabletop / simulation / live]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spacing w:after="120" w:line="264"/>
      </w:pPr>
      <w:r>
        <w:rPr>
          <w:rFonts w:ascii="Inter" w:cs="Inter" w:eastAsia="Inter" w:hAnsi="Inter"/>
          <w:b w:val="false"/>
          <w:bCs w:val="false"/>
          <w:i/>
          <w:iCs/>
          <w:color w:val="808080"/>
          <w:sz w:val="18"/>
          <w:szCs w:val="18"/>
        </w:rPr>
        <w:t>The ISO/IEC 27035 series gives further guidance on incident management if you want more depth than this plan provides.</w:t>
      </w:r>
    </w:p>
    <w:p>
      <w:pPr>
        <w:pStyle w:val="Heading2"/>
        <w:spacing w:after="110" w:before="260"/>
      </w:pPr>
      <w:r>
        <w:rPr>
          <w:rFonts w:ascii="Inter" w:cs="Inter" w:eastAsia="Inter" w:hAnsi="Inter"/>
          <w:b/>
          <w:bCs/>
          <w:i w:val="false"/>
          <w:iCs w:val="false"/>
          <w:color w:val="595959"/>
          <w:sz w:val="24"/>
          <w:szCs w:val="24"/>
        </w:rPr>
        <w:t xml:space="preserve">Revision history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354"/>
        <w:gridCol w:w="1805"/>
        <w:gridCol w:w="3159"/>
        <w:gridCol w:w="1625"/>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Initial draft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sectPr>
      <w:headerReference w:type="default" r:id="rId7"/>
      <w:footerReference w:type="default" r:id="rId8"/>
      <w:headerReference w:type="first" r:id="rId10"/>
      <w:footerReference w:type="first" r:id="rId11"/>
      <w:headerReference w:type="even" r:id="rId12"/>
      <w:footerReference w:type="even" r:id="rId13"/>
      <w:pgSz w:w="11906" w:h="16838" w:orient="portrait"/>
      <w:pgMar w:top="1134" w:right="1440" w:bottom="1134"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Inter" w:cs="Inter" w:eastAsia="Inter" w:hAnsi="Inter"/>
        <w:b w:val="false"/>
        <w:bCs w:val="false"/>
        <w:i w:val="false"/>
        <w:iCs w:val="false"/>
        <w:color w:val="808080"/>
        <w:sz w:val="16"/>
        <w:szCs w:val="16"/>
      </w:rPr>
      <w:t xml:space="preserve">ISO/IEC 27001:2022 Implementation Kit  ·  sameerkhairkar.com        Page </w:t>
    </w:r>
    <w:r>
      <w:rPr>
        <w:rFonts w:ascii="Inter" w:cs="Inter" w:eastAsia="Inter" w:hAnsi="Inter"/>
        <w:color w:val="808080"/>
        <w:sz w:val="16"/>
        <w:szCs w:val="16"/>
      </w:rPr>
      <w:fldChar w:fldCharType="begin"/>
      <w:instrText xml:space="preserve">PAGE</w:instrText>
      <w:fldChar w:fldCharType="separate"/>
      <w:fldChar w:fldCharType="end"/>
    </w:r>
    <w:r>
      <w:rPr>
        <w:rFonts w:ascii="Inter" w:cs="Inter" w:eastAsia="Inter" w:hAnsi="Inter"/>
        <w:b w:val="false"/>
        <w:bCs w:val="false"/>
        <w:i w:val="false"/>
        <w:iCs w:val="false"/>
        <w:color w:val="808080"/>
        <w:sz w:val="16"/>
        <w:szCs w:val="16"/>
      </w:rPr>
      <w:t xml:space="preserve"> of </w:t>
    </w:r>
    <w:r>
      <w:rPr>
        <w:rFonts w:ascii="Inter" w:cs="Inter" w:eastAsia="Inter" w:hAnsi="Inter"/>
        <w:color w:val="808080"/>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rFonts w:ascii="Inter" w:cs="Inter" w:eastAsia="Inter" w:hAnsi="Inter"/>
        <w:b w:val="false"/>
        <w:bCs w:val="false"/>
        <w:i w:val="false"/>
        <w:iCs w:val="false"/>
        <w:color w:val="808080"/>
        <w:sz w:val="16"/>
        <w:szCs w:val="16"/>
      </w:rPr>
      <w:t>[YOUR ORGANISATION]  |  Incident Response Plan and Runbooks  |  [Classification]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40"/>
      </w:pPr>
    </w:lvl>
    <w:lvl w:ilvl="1" w15:tentative="1">
      <w:start w:val="1"/>
      <w:numFmt w:val="bullet"/>
      <w:lvlText w:val="–"/>
      <w:lvlJc w:val="left"/>
      <w:pPr>
        <w:ind w:left="840" w:hanging="240"/>
      </w:pPr>
    </w:lvl>
  </w:abstractNum>
  <w:abstractNum w:abstractNumId="3" w15:restartNumberingAfterBreak="0">
    <w:multiLevelType w:val="hybridMultilevel"/>
    <w:lvl w:ilvl="0" w15:tentative="1">
      <w:start w:val="1"/>
      <w:numFmt w:val="decimal"/>
      <w:lvlText w:val="%1."/>
      <w:lvlJc w:val="left"/>
      <w:pPr>
        <w:ind w:left="50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1A1A1A"/>
      <w:sz w:val="32"/>
      <w:szCs w:val="32"/>
    </w:rPr>
  </w:style>
  <w:style w:type="paragraph" w:styleId="Heading2">
    <w:name w:val="Heading 2"/>
    <w:basedOn w:val="Normal"/>
    <w:next w:val="Normal"/>
    <w:qFormat/>
    <w:rPr>
      <w:color w:val="1A1A1A"/>
      <w:sz w:val="26"/>
      <w:szCs w:val="26"/>
    </w:rPr>
  </w:style>
  <w:style w:type="paragraph" w:styleId="Heading3">
    <w:name w:val="Heading 3"/>
    <w:basedOn w:val="Normal"/>
    <w:next w:val="Normal"/>
    <w:qFormat/>
    <w:rPr>
      <w:color w:val="1A1A1A"/>
      <w:sz w:val="24"/>
      <w:szCs w:val="24"/>
    </w:rPr>
  </w:style>
  <w:style w:type="paragraph" w:styleId="Heading4">
    <w:name w:val="Heading 4"/>
    <w:basedOn w:val="Normal"/>
    <w:next w:val="Normal"/>
    <w:qFormat/>
    <w:rPr>
      <w:i/>
      <w:iCs/>
      <w:color w:val="1A1A1A"/>
    </w:rPr>
  </w:style>
  <w:style w:type="paragraph" w:styleId="Heading5">
    <w:name w:val="Heading 5"/>
    <w:basedOn w:val="Normal"/>
    <w:next w:val="Normal"/>
    <w:qFormat/>
    <w:rPr>
      <w:color w:val="1A1A1A"/>
    </w:rPr>
  </w:style>
  <w:style w:type="paragraph" w:styleId="Heading6">
    <w:name w:val="Heading 6"/>
    <w:basedOn w:val="Normal"/>
    <w:next w:val="Normal"/>
    <w:qFormat/>
    <w:rPr>
      <w:color w:val="1A1A1A"/>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Response Plan and Runbooks</dc:title>
  <dc:creator>Sameer Khairkar</dc:creator>
  <dc:description>ISO/IEC 27001:2022 A.5.24 to A.5.28. Free template from sameerkhairkar.com. Practitioner material, not legal advice.</dc:description>
  <cp:lastModifiedBy>Sameer Khairkar</cp:lastModifiedBy>
  <cp:revision>1</cp:revision>
  <dcterms:created xsi:type="dcterms:W3CDTF">2026-08-10T11:40:20.118Z</dcterms:created>
  <dcterms:modified xsi:type="dcterms:W3CDTF">2026-08-10T11:40:20.118Z</dcterms:modified>
  <cp:category>ISO/IEC 27001:2022 Implementation Kit</cp:category>
</cp:coreProperties>
</file>

<file path=docProps/custom.xml><?xml version="1.0" encoding="utf-8"?>
<Properties xmlns="http://schemas.openxmlformats.org/officeDocument/2006/custom-properties" xmlns:vt="http://schemas.openxmlformats.org/officeDocument/2006/docPropsVTypes"/>
</file>