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/>
      </w:r>
    </w:p>
    <w:p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/>
      </w:r>
    </w:p>
    <w:p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/>
      </w:r>
    </w:p>
    <w:p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/>
      </w:r>
    </w:p>
    <w:p>
      <w:pPr>
        <w:spacing w:after="60"/>
        <w:jc w:val="left"/>
      </w:pPr>
      <w:r>
        <w:rPr>
          <w:rFonts w:ascii="Inter" w:cs="Inter" w:eastAsia="Inter" w:hAnsi="Inter"/>
          <w:b/>
          <w:bCs/>
          <w:i w:val="false"/>
          <w:iCs w:val="false"/>
          <w:color w:val="595959"/>
          <w:sz w:val="22"/>
          <w:szCs w:val="22"/>
        </w:rPr>
        <w:t>Free ISO 27001 kit  ·  sameerkhairkar.com</w:t>
      </w:r>
    </w:p>
    <w:p>
      <w:pPr>
        <w:pBdr>
          <w:bottom w:val="single" w:color="D9D9D9" w:sz="12" w:space="6"/>
        </w:pBdr>
        <w:spacing w:after="300"/>
        <w:jc w:val="left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808080"/>
          <w:sz w:val="19"/>
          <w:szCs w:val="19"/>
        </w:rPr>
        <w:t xml:space="preserve">ISO/IEC 27001:2022 Implementation Kit</w:t>
      </w:r>
    </w:p>
    <w:p>
      <w:pPr>
        <w:spacing w:after="10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44"/>
          <w:szCs w:val="44"/>
        </w:rPr>
        <w:t xml:space="preserve">Document Control Procedure</w:t>
      </w:r>
    </w:p>
    <w:p>
      <w:pPr>
        <w:spacing w:after="400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595959"/>
          <w:sz w:val="24"/>
          <w:szCs w:val="24"/>
        </w:rPr>
        <w:t xml:space="preserve">ISO/IEC 27001:2022 Clauses 7.5.2 and 7.5.3</w:t>
      </w:r>
    </w:p>
    <w:tbl>
      <w:tblPr>
        <w:tblW w:type="dxa" w:w="9026"/>
        <w:tblBorders>
          <w:top w:val="single" w:color="BFBFBF" w:sz="2"/>
          <w:left w:val="single" w:color="BFBFBF" w:sz="2"/>
          <w:bottom w:val="single" w:color="BFBFBF" w:sz="2"/>
          <w:right w:val="single" w:color="BFBFBF" w:sz="2"/>
          <w:insideH w:val="single" w:color="D9D9D9" w:sz="2"/>
          <w:insideV w:val="single" w:color="D9D9D9" w:sz="2"/>
        </w:tblBorders>
      </w:tblPr>
      <w:tblGrid>
        <w:gridCol w:w="2708"/>
        <w:gridCol w:w="6318"/>
      </w:tblGrid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>Organisation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>[YOUR ORGANISATION]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Document type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Mandatory documented information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Document reference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[DOC-REF]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Version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[0.1 draft]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Date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[DATE]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Author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>[AUTHOR NAME AND ROLE]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Document owner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>[ROLE]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Approved by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[NAME, ROLE]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Approval date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[DATE]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Next review due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[DATE - normally 12 months]</w:t>
            </w:r>
          </w:p>
        </w:tc>
      </w:tr>
      <w:tr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31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[Internal / Confidential]</w:t>
            </w:r>
          </w:p>
        </w:tc>
      </w:tr>
    </w:tbl>
    <w:p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/>
      </w:r>
    </w:p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/>
          <w:iCs/>
          <w:color w:val="808080"/>
          <w:sz w:val="17"/>
          <w:szCs w:val="17"/>
        </w:rPr>
        <w:t>This is a free template. Text in [square brackets] must be completed or deleted before the document is issued. Shaded GUIDANCE boxes are notes to whoever is filling it in and must be deleted before issue.</w:t>
      </w:r>
    </w:p>
    <w:p>
      <w:r>
        <w:br w:type="page"/>
      </w:r>
    </w:p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1. Purpose and scope</w:t>
      </w:r>
    </w:p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>This procedure sets out how [YOUR ORGANISATION] creates, approves, publishes, controls and disposes of the documented information belonging to the ISMS. It satisfies Clauses 7.5.2 and 7.5.3 of ISO/IEC 27001:2022.</w:t>
      </w:r>
    </w:p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It applies to all ISMS documented information, whether it is a specification of intent such as a policy, a record of performance such as an audit report, or a mixture of both. It applies equally to documents of external origin that the organisation has determined are necessary for the ISMS.</w:t>
      </w:r>
    </w:p>
    <w:p>
      <w:pPr>
        <w:pBdr>
          <w:top w:val="single" w:color="D9D9D9" w:sz="2" w:space="4"/>
          <w:bottom w:val="single" w:color="D9D9D9" w:sz="2" w:space="4"/>
          <w:left w:val="single" w:color="F50056" w:sz="18" w:space="8"/>
          <w:right w:val="single" w:color="D9D9D9" w:sz="2" w:space="4"/>
        </w:pBdr>
        <w:shd w:fill="F2F2F2" w:val="clear"/>
        <w:spacing w:after="160" w:before="100"/>
      </w:pPr>
      <w:r>
        <w:rPr>
          <w:rFonts w:ascii="Inter" w:cs="Inter" w:eastAsia="Inter" w:hAnsi="Inter"/>
          <w:b/>
          <w:bCs/>
          <w:i w:val="false"/>
          <w:iCs w:val="false"/>
          <w:color w:val="595959"/>
          <w:sz w:val="17"/>
          <w:szCs w:val="17"/>
        </w:rPr>
        <w:t xml:space="preserve">GUIDANCE  </w:t>
      </w:r>
      <w:r>
        <w:rPr>
          <w:rFonts w:ascii="Inter" w:cs="Inter" w:eastAsia="Inter" w:hAnsi="Inter"/>
          <w:b w:val="false"/>
          <w:bCs w:val="false"/>
          <w:i/>
          <w:iCs/>
          <w:color w:val="404040"/>
          <w:sz w:val="19"/>
          <w:szCs w:val="19"/>
        </w:rPr>
        <w:t xml:space="preserve">Documented information can be held in any form - traditional documents, web pages, databases, computer logs, generated reports, audio and video. The guidance below is written for conventional documents and should be interpreted sensibly for the other forms.</w:t>
      </w:r>
    </w:p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2. The document library</w:t>
      </w:r>
    </w:p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ISMS documented information is held in a single structured library at [LOCATION], so that a reader can find a document without knowing who wrote it. The library is organised as follows.</w:t>
      </w:r>
    </w:p>
    <w:tbl>
      <w:tblPr>
        <w:tblW w:type="dxa" w:w="9026"/>
        <w:tblBorders>
          <w:top w:val="single" w:color="BFBFBF" w:sz="2"/>
          <w:left w:val="single" w:color="BFBFBF" w:sz="2"/>
          <w:bottom w:val="single" w:color="BFBFBF" w:sz="2"/>
          <w:right w:val="single" w:color="BFBFBF" w:sz="2"/>
          <w:insideH w:val="single" w:color="D9D9D9" w:sz="2"/>
          <w:insideV w:val="single" w:color="D9D9D9" w:sz="2"/>
        </w:tblBorders>
      </w:tblPr>
      <w:tblGrid>
        <w:gridCol w:w="1534"/>
        <w:gridCol w:w="2708"/>
        <w:gridCol w:w="3069"/>
        <w:gridCol w:w="1715"/>
      </w:tblGrid>
      <w:tr>
        <w:trPr>
          <w:tblHeader/>
        </w:trPr>
        <w:tc>
          <w:tcPr>
            <w:tcW w:type="dxa" w:w="1534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Level</w:t>
            </w:r>
          </w:p>
        </w:tc>
        <w:tc>
          <w:tcPr>
            <w:tcW w:type="dxa" w:w="2708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What it contains</w:t>
            </w:r>
          </w:p>
        </w:tc>
        <w:tc>
          <w:tcPr>
            <w:tcW w:type="dxa" w:w="3069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Example</w:t>
            </w:r>
          </w:p>
        </w:tc>
        <w:tc>
          <w:tcPr>
            <w:tcW w:type="dxa" w:w="1715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Typical approver</w:t>
            </w:r>
          </w:p>
        </w:tc>
      </w:tr>
      <w:tr>
        <w:tc>
          <w:tcPr>
            <w:tcW w:type="dxa" w:w="153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1. Policy</w:t>
            </w:r>
          </w:p>
        </w:tc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Statements of intent and direction</w:t>
            </w:r>
          </w:p>
        </w:tc>
        <w:tc>
          <w:tcPr>
            <w:tcW w:type="dxa" w:w="306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Information Security Policy</w:t>
            </w:r>
          </w:p>
        </w:tc>
        <w:tc>
          <w:tcPr>
            <w:tcW w:type="dxa" w:w="171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Top management</w:t>
            </w:r>
          </w:p>
        </w:tc>
      </w:tr>
      <w:tr>
        <w:tc>
          <w:tcPr>
            <w:tcW w:type="dxa" w:w="153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2. Topic-specific policy</w:t>
            </w:r>
          </w:p>
        </w:tc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Rules for a specific area</w:t>
            </w:r>
          </w:p>
        </w:tc>
        <w:tc>
          <w:tcPr>
            <w:tcW w:type="dxa" w:w="306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Access Control Policy</w:t>
            </w:r>
          </w:p>
        </w:tc>
        <w:tc>
          <w:tcPr>
            <w:tcW w:type="dxa" w:w="171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[Appropriate level of management]</w:t>
            </w:r>
          </w:p>
        </w:tc>
      </w:tr>
      <w:tr>
        <w:tc>
          <w:tcPr>
            <w:tcW w:type="dxa" w:w="153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3. Procedure and standard</w:t>
            </w:r>
          </w:p>
        </w:tc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How something is done, and to what specification</w:t>
            </w:r>
          </w:p>
        </w:tc>
        <w:tc>
          <w:tcPr>
            <w:tcW w:type="dxa" w:w="306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Document Control Procedure; hardening baselines</w:t>
            </w:r>
          </w:p>
        </w:tc>
        <w:tc>
          <w:tcPr>
            <w:tcW w:type="dxa" w:w="171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[Process owner]</w:t>
            </w:r>
          </w:p>
        </w:tc>
      </w:tr>
      <w:tr>
        <w:tc>
          <w:tcPr>
            <w:tcW w:type="dxa" w:w="153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4. Register and plan</w:t>
            </w:r>
          </w:p>
        </w:tc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Live working records of the ISMS</w:t>
            </w:r>
          </w:p>
        </w:tc>
        <w:tc>
          <w:tcPr>
            <w:tcW w:type="dxa" w:w="306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Risk register; risk treatment plan</w:t>
            </w:r>
          </w:p>
        </w:tc>
        <w:tc>
          <w:tcPr>
            <w:tcW w:type="dxa" w:w="171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[ISMS Manager]</w:t>
            </w:r>
          </w:p>
        </w:tc>
      </w:tr>
      <w:tr>
        <w:tc>
          <w:tcPr>
            <w:tcW w:type="dxa" w:w="153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5. Record</w:t>
            </w:r>
          </w:p>
        </w:tc>
        <w:tc>
          <w:tcPr>
            <w:tcW w:type="dxa" w:w="2708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Evidence that something happened</w:t>
            </w:r>
          </w:p>
        </w:tc>
        <w:tc>
          <w:tcPr>
            <w:tcW w:type="dxa" w:w="306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Audit report; access review output</w:t>
            </w:r>
          </w:p>
        </w:tc>
        <w:tc>
          <w:tcPr>
            <w:tcW w:type="dxa" w:w="171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n/a - produced, not approved</w:t>
            </w:r>
          </w:p>
        </w:tc>
      </w:tr>
    </w:tbl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Duplication between documents is avoided. Where the same information is needed in two places, the second cross-references the first rather than repeating it, so that there is only ever one thing to update.</w:t>
      </w:r>
    </w:p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3. Identification</w:t>
      </w:r>
    </w:p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Every ISMS document carries the same identification block, so that any copy can be identified unambiguously.</w:t>
      </w:r>
    </w:p>
    <w:tbl>
      <w:tblPr>
        <w:tblW w:type="dxa" w:w="9026"/>
        <w:tblBorders>
          <w:top w:val="single" w:color="BFBFBF" w:sz="2"/>
          <w:left w:val="single" w:color="BFBFBF" w:sz="2"/>
          <w:bottom w:val="single" w:color="BFBFBF" w:sz="2"/>
          <w:right w:val="single" w:color="BFBFBF" w:sz="2"/>
          <w:insideH w:val="single" w:color="D9D9D9" w:sz="2"/>
          <w:insideV w:val="single" w:color="D9D9D9" w:sz="2"/>
        </w:tblBorders>
      </w:tblPr>
      <w:tblGrid>
        <w:gridCol w:w="2166"/>
        <w:gridCol w:w="6860"/>
      </w:tblGrid>
      <w:tr>
        <w:trPr>
          <w:tblHeader/>
        </w:trPr>
        <w:tc>
          <w:tcPr>
            <w:tcW w:type="dxa" w:w="2166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Attribute</w:t>
            </w:r>
          </w:p>
        </w:tc>
        <w:tc>
          <w:tcPr>
            <w:tcW w:type="dxa" w:w="6860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Purpose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Document type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Policy, topic-specific policy, procedure, standard, plan, register, form, record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Title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Distinct enough that two documents are never confused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Reference number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Stable identifier that survives a change of title. Allocated from the Document Register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Version number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Draft versions 0.x; approved versions 1.0, 1.1, 2.0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Date of publication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The date the current version took effect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Applied per the Information Classification and Handling Policy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Purpose and scope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Who and what the document applies to, stated at the front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Author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Who wrote it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Owner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The person or role currently responsible for it, its application and its evolution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Approver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The person or role with the authority to approve it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Review date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When it must next be reviewed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Revision history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What changed, when, by whom, approved by whom</w:t>
            </w:r>
          </w:p>
        </w:tc>
      </w:tr>
    </w:tbl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4. Creating and updating</w:t>
      </w:r>
    </w:p>
    <w:p>
      <w:pPr>
        <w:pStyle w:val="ListParagraph"/>
        <w:numPr>
          <w:ilvl w:val="0"/>
          <w:numId w:val="2"/>
        </w:numPr>
        <w:spacing w:after="7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The author drafts using the standard template for the document type, so structure and identification are consistent.</w:t>
      </w:r>
    </w:p>
    <w:p>
      <w:pPr>
        <w:pStyle w:val="ListParagraph"/>
        <w:numPr>
          <w:ilvl w:val="0"/>
          <w:numId w:val="2"/>
        </w:numPr>
        <w:spacing w:after="7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The document owner reviews for accuracy and for whether it describes what the organisation actually does, rather than what it intends to do.</w:t>
      </w:r>
    </w:p>
    <w:p>
      <w:pPr>
        <w:pStyle w:val="ListParagraph"/>
        <w:numPr>
          <w:ilvl w:val="0"/>
          <w:numId w:val="2"/>
        </w:numPr>
        <w:spacing w:after="7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Where the document affects another function, that function is consulted before approval.</w:t>
      </w:r>
    </w:p>
    <w:p>
      <w:pPr>
        <w:pStyle w:val="ListParagraph"/>
        <w:numPr>
          <w:ilvl w:val="0"/>
          <w:numId w:val="2"/>
        </w:numPr>
        <w:spacing w:after="7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The approver approves. Approval confirms the document is correct, suitable for its purpose, and in an appropriate form and level of detail for its intended audience.</w:t>
      </w:r>
    </w:p>
    <w:p>
      <w:pPr>
        <w:pStyle w:val="ListParagraph"/>
        <w:numPr>
          <w:ilvl w:val="0"/>
          <w:numId w:val="2"/>
        </w:numPr>
        <w:spacing w:after="7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The version number is set, the revision history updated, and the document published to the library.</w:t>
      </w:r>
    </w:p>
    <w:p>
      <w:pPr>
        <w:pStyle w:val="ListParagraph"/>
        <w:numPr>
          <w:ilvl w:val="0"/>
          <w:numId w:val="2"/>
        </w:numPr>
        <w:spacing w:after="7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The audience is notified through the route set out in the ISMS Communication Plan. Where acknowledgement is required, it is captured and retained.</w:t>
      </w:r>
    </w:p>
    <w:p>
      <w:pPr>
        <w:pStyle w:val="ListParagraph"/>
        <w:numPr>
          <w:ilvl w:val="0"/>
          <w:numId w:val="2"/>
        </w:numPr>
        <w:spacing w:after="7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The Document Register is updated: version, approval date, approver, next review date.</w:t>
      </w:r>
    </w:p>
    <w:p>
      <w:pPr>
        <w:pStyle w:val="Heading2"/>
        <w:spacing w:after="110" w:before="260"/>
      </w:pPr>
      <w:r>
        <w:rPr>
          <w:rFonts w:ascii="Inter" w:cs="Inter" w:eastAsia="Inter" w:hAnsi="Inter"/>
          <w:b/>
          <w:bCs/>
          <w:i w:val="false"/>
          <w:iCs w:val="false"/>
          <w:color w:val="595959"/>
          <w:sz w:val="24"/>
          <w:szCs w:val="24"/>
        </w:rPr>
        <w:t xml:space="preserve">4.1 Format and media</w:t>
      </w:r>
    </w:p>
    <w:p>
      <w:pPr>
        <w:pBdr>
          <w:top w:val="single" w:color="D9D9D9" w:sz="2" w:space="4"/>
          <w:bottom w:val="single" w:color="D9D9D9" w:sz="2" w:space="4"/>
          <w:left w:val="single" w:color="D9D9D9" w:sz="2" w:space="4"/>
          <w:right w:val="single" w:color="D9D9D9" w:sz="2" w:space="4"/>
        </w:pBdr>
        <w:shd w:fill="F2F2F2" w:val="clear"/>
        <w:spacing w:after="160" w:before="80"/>
      </w:pPr>
      <w:r>
        <w:rPr>
          <w:rFonts w:ascii="Inter" w:cs="Inter" w:eastAsia="Inter" w:hAnsi="Inter"/>
          <w:b/>
          <w:bCs/>
          <w:i w:val="false"/>
          <w:iCs w:val="false"/>
          <w:color w:val="000000"/>
          <w:sz w:val="21"/>
          <w:szCs w:val="21"/>
        </w:rPr>
        <w:t xml:space="preserve">Format and media requirements: </w:t>
      </w:r>
      <w:r>
        <w:rPr>
          <w:rFonts w:ascii="Inter" w:cs="Inter" w:eastAsia="Inter" w:hAnsi="Inter"/>
          <w:b w:val="false"/>
          <w:bCs w:val="false"/>
          <w:i/>
          <w:iCs/>
          <w:color w:val="595959"/>
          <w:sz w:val="21"/>
          <w:szCs w:val="21"/>
        </w:rPr>
        <w:t xml:space="preserve">[e.g. "Documents are authored in [FORMAT], published as PDF, and written in [LANGUAGE]. Where a document must be available during a disruption, an offline copy is held at [LOCATION]."]</w:t>
      </w:r>
    </w:p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5. Control through life</w:t>
      </w:r>
    </w:p>
    <w:tbl>
      <w:tblPr>
        <w:tblW w:type="dxa" w:w="9026"/>
        <w:tblBorders>
          <w:top w:val="single" w:color="BFBFBF" w:sz="2"/>
          <w:left w:val="single" w:color="BFBFBF" w:sz="2"/>
          <w:bottom w:val="single" w:color="BFBFBF" w:sz="2"/>
          <w:right w:val="single" w:color="BFBFBF" w:sz="2"/>
          <w:insideH w:val="single" w:color="D9D9D9" w:sz="2"/>
          <w:insideV w:val="single" w:color="D9D9D9" w:sz="2"/>
        </w:tblBorders>
      </w:tblPr>
      <w:tblGrid>
        <w:gridCol w:w="2347"/>
        <w:gridCol w:w="6679"/>
      </w:tblGrid>
      <w:tr>
        <w:trPr>
          <w:tblHeader/>
        </w:trPr>
        <w:tc>
          <w:tcPr>
            <w:tcW w:type="dxa" w:w="2347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Requirement</w:t>
            </w:r>
          </w:p>
        </w:tc>
        <w:tc>
          <w:tcPr>
            <w:tcW w:type="dxa" w:w="6679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How it is met here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Availability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Published in the library, reachable by everyone in the intended audience, with an offline copy of continuity-critical documents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Protection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Access permissions matched to classification; version history retained; the library backed up per the Backup Policy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Distribution and access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The Document Register records who each document is distributed to. Access is granted per the Access Control Policy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Retrieval and use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Consistent naming and reference numbers; a single library rather than personal copies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Storage and preservation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Formats chosen so that documents remain legible for the whole retention period, and reviewed if a format becomes obsolete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Change control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Only the owner or an authorised delegate may change a document. Changes go through the approval route above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Retention and disposition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Per the Records Retention Schedule (workbook tab 23), which states both how long and what happens at the end</w:t>
            </w:r>
          </w:p>
        </w:tc>
      </w:tr>
      <w:tr>
        <w:tc>
          <w:tcPr>
            <w:tcW w:type="dxa" w:w="2347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External documents</w:t>
            </w:r>
          </w:p>
        </w:tc>
        <w:tc>
          <w:tcPr>
            <w:tcW w:type="dxa" w:w="667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Standards, laws, regulations, contracts and supplier documentation the ISMS relies on are registered, and someone is responsible for noticing when they change</w:t>
            </w:r>
          </w:p>
        </w:tc>
      </w:tr>
    </w:tbl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6. Review</w:t>
      </w:r>
    </w:p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Every document has a review date. Review confirms it is still suitable and adequate; the reviewer records the outcome even where nothing changes, because "reviewed, no change required" is itself the evidence.</w:t>
      </w:r>
    </w:p>
    <w:p>
      <w:pPr>
        <w:pBdr>
          <w:top w:val="single" w:color="D9D9D9" w:sz="2" w:space="4"/>
          <w:bottom w:val="single" w:color="D9D9D9" w:sz="2" w:space="4"/>
          <w:left w:val="single" w:color="D9D9D9" w:sz="2" w:space="4"/>
          <w:right w:val="single" w:color="D9D9D9" w:sz="2" w:space="4"/>
        </w:pBdr>
        <w:shd w:fill="F2F2F2" w:val="clear"/>
        <w:spacing w:after="160" w:before="80"/>
      </w:pPr>
      <w:r>
        <w:rPr>
          <w:rFonts w:ascii="Inter" w:cs="Inter" w:eastAsia="Inter" w:hAnsi="Inter"/>
          <w:b/>
          <w:bCs/>
          <w:i w:val="false"/>
          <w:iCs w:val="false"/>
          <w:color w:val="000000"/>
          <w:sz w:val="21"/>
          <w:szCs w:val="21"/>
        </w:rPr>
        <w:t xml:space="preserve">Review cycle: </w:t>
      </w:r>
      <w:r>
        <w:rPr>
          <w:rFonts w:ascii="Inter" w:cs="Inter" w:eastAsia="Inter" w:hAnsi="Inter"/>
          <w:b w:val="false"/>
          <w:bCs w:val="false"/>
          <w:i/>
          <w:iCs/>
          <w:color w:val="595959"/>
          <w:sz w:val="21"/>
          <w:szCs w:val="21"/>
        </w:rPr>
        <w:t xml:space="preserve">[e.g. "Policies annually. Procedures every two years or on change. Registers are live and reviewed at the frequency stated on each. All documents are reviewed additionally after a significant change, an incident that exposed a weakness in them, or a relevant audit finding."]</w:t>
      </w:r>
    </w:p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7. Obsolete documents</w:t>
      </w:r>
    </w:p>
    <w:p>
      <w:pPr>
        <w:spacing w:after="120" w:line="264"/>
      </w:pPr>
      <w:r>
        <w:rPr>
          <w:rFonts w:ascii="Inter" w:cs="Inter" w:eastAsia="Inter" w:hAnsi="Inter"/>
          <w:b w:val="false"/>
          <w:bCs w:val="false"/>
          <w:i w:val="false"/>
          <w:iCs w:val="false"/>
          <w:color w:val="000000"/>
          <w:sz w:val="21"/>
          <w:szCs w:val="21"/>
        </w:rPr>
        <w:t xml:space="preserve">Superseded documents are marked as such and removed from the live library, but are retained per the Records Retention Schedule where there is a reason to be able to show what the rules were at a point in the past. That reason is common: an auditor asking why something was done in a particular way two years ago is asking about the version in force then.</w:t>
      </w:r>
    </w:p>
    <w:p>
      <w:pPr>
        <w:pStyle w:val="Heading1"/>
        <w:pBdr>
          <w:bottom w:val="single" w:color="D9D9D9" w:sz="8" w:space="4"/>
        </w:pBdr>
        <w:spacing w:after="160" w:before="320"/>
      </w:pPr>
      <w:r>
        <w:rPr>
          <w:rFonts w:ascii="Inter" w:cs="Inter" w:eastAsia="Inter" w:hAnsi="Inter"/>
          <w:b/>
          <w:bCs/>
          <w:i w:val="false"/>
          <w:iCs w:val="false"/>
          <w:color w:val="1A1A1A"/>
          <w:sz w:val="28"/>
          <w:szCs w:val="28"/>
        </w:rPr>
        <w:t xml:space="preserve">8. Roles</w:t>
      </w:r>
    </w:p>
    <w:tbl>
      <w:tblPr>
        <w:tblW w:type="dxa" w:w="9026"/>
        <w:tblBorders>
          <w:top w:val="single" w:color="BFBFBF" w:sz="2"/>
          <w:left w:val="single" w:color="BFBFBF" w:sz="2"/>
          <w:bottom w:val="single" w:color="BFBFBF" w:sz="2"/>
          <w:right w:val="single" w:color="BFBFBF" w:sz="2"/>
          <w:insideH w:val="single" w:color="D9D9D9" w:sz="2"/>
          <w:insideV w:val="single" w:color="D9D9D9" w:sz="2"/>
        </w:tblBorders>
      </w:tblPr>
      <w:tblGrid>
        <w:gridCol w:w="2166"/>
        <w:gridCol w:w="6860"/>
      </w:tblGrid>
      <w:tr>
        <w:trPr>
          <w:tblHeader/>
        </w:trPr>
        <w:tc>
          <w:tcPr>
            <w:tcW w:type="dxa" w:w="2166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Role</w:t>
            </w:r>
          </w:p>
        </w:tc>
        <w:tc>
          <w:tcPr>
            <w:tcW w:type="dxa" w:w="6860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Responsibility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[ISMS Manager]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Owns this procedure and the Document Register. Allocates reference numbers. Monitors review dates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Document owners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Keep their documents accurate, current and reviewed on time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Approvers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Confirm correctness, suitability, form and level of detail before publication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Authors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Draft to the template and to the audience</w:t>
            </w:r>
          </w:p>
        </w:tc>
      </w:tr>
      <w:tr>
        <w:tc>
          <w:tcPr>
            <w:tcW w:type="dxa" w:w="2166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All personnel</w:t>
            </w:r>
          </w:p>
        </w:tc>
        <w:tc>
          <w:tcPr>
            <w:tcW w:type="dxa" w:w="6860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Use the library version, never a local copy</w:t>
            </w:r>
          </w:p>
        </w:tc>
      </w:tr>
    </w:tbl>
    <w:p>
      <w:pPr>
        <w:pStyle w:val="Heading2"/>
        <w:spacing w:after="110" w:before="260"/>
      </w:pPr>
      <w:r>
        <w:rPr>
          <w:rFonts w:ascii="Inter" w:cs="Inter" w:eastAsia="Inter" w:hAnsi="Inter"/>
          <w:b/>
          <w:bCs/>
          <w:i w:val="false"/>
          <w:iCs w:val="false"/>
          <w:color w:val="595959"/>
          <w:sz w:val="24"/>
          <w:szCs w:val="24"/>
        </w:rPr>
        <w:t xml:space="preserve">Revision history</w:t>
      </w:r>
    </w:p>
    <w:tbl>
      <w:tblPr>
        <w:tblW w:type="dxa" w:w="9026"/>
        <w:tblBorders>
          <w:top w:val="single" w:color="BFBFBF" w:sz="2"/>
          <w:left w:val="single" w:color="BFBFBF" w:sz="2"/>
          <w:bottom w:val="single" w:color="BFBFBF" w:sz="2"/>
          <w:right w:val="single" w:color="BFBFBF" w:sz="2"/>
          <w:insideH w:val="single" w:color="D9D9D9" w:sz="2"/>
          <w:insideV w:val="single" w:color="D9D9D9" w:sz="2"/>
        </w:tblBorders>
      </w:tblPr>
      <w:tblGrid>
        <w:gridCol w:w="1083"/>
        <w:gridCol w:w="1354"/>
        <w:gridCol w:w="1805"/>
        <w:gridCol w:w="3159"/>
        <w:gridCol w:w="1625"/>
      </w:tblGrid>
      <w:tr>
        <w:trPr>
          <w:tblHeader/>
        </w:trPr>
        <w:tc>
          <w:tcPr>
            <w:tcW w:type="dxa" w:w="1083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Version</w:t>
            </w:r>
          </w:p>
        </w:tc>
        <w:tc>
          <w:tcPr>
            <w:tcW w:type="dxa" w:w="1354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Date</w:t>
            </w:r>
          </w:p>
        </w:tc>
        <w:tc>
          <w:tcPr>
            <w:tcW w:type="dxa" w:w="1805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Author</w:t>
            </w:r>
          </w:p>
        </w:tc>
        <w:tc>
          <w:tcPr>
            <w:tcW w:type="dxa" w:w="3159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Summary of change</w:t>
            </w:r>
          </w:p>
        </w:tc>
        <w:tc>
          <w:tcPr>
            <w:tcW w:type="dxa" w:w="1625"/>
            <w:shd w:fill="F2F2F2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/>
                <w:bCs/>
                <w:i w:val="false"/>
                <w:iCs w:val="false"/>
                <w:color w:val="1A1A1A"/>
                <w:sz w:val="18"/>
                <w:szCs w:val="18"/>
              </w:rPr>
              <w:t xml:space="preserve">Approved by</w:t>
            </w:r>
          </w:p>
        </w:tc>
      </w:tr>
      <w:tr>
        <w:tc>
          <w:tcPr>
            <w:tcW w:type="dxa" w:w="1083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0.1</w:t>
            </w:r>
          </w:p>
        </w:tc>
        <w:tc>
          <w:tcPr>
            <w:tcW w:type="dxa" w:w="135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[DATE]</w:t>
            </w:r>
          </w:p>
        </w:tc>
        <w:tc>
          <w:tcPr>
            <w:tcW w:type="dxa" w:w="180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[AUTHOR]</w:t>
            </w:r>
          </w:p>
        </w:tc>
        <w:tc>
          <w:tcPr>
            <w:tcW w:type="dxa" w:w="315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Initial draft</w:t>
            </w:r>
          </w:p>
        </w:tc>
        <w:tc>
          <w:tcPr>
            <w:tcW w:type="dxa" w:w="162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>-</w:t>
            </w:r>
          </w:p>
        </w:tc>
      </w:tr>
      <w:tr>
        <w:tc>
          <w:tcPr>
            <w:tcW w:type="dxa" w:w="1083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35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80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315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2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1083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354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80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3159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1625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spacing w:after="40" w:before="40"/>
            </w:pPr>
            <w:r>
              <w:rPr>
                <w:rFonts w:ascii="Inter" w:cs="Inter" w:eastAsia="Inter" w:hAnsi="Inter"/>
                <w:b w:val="false"/>
                <w:bCs w:val="false"/>
                <w:i w:val="false"/>
                <w:iCs w:val="false"/>
                <w:color w:val="000000"/>
                <w:sz w:val="19"/>
                <w:szCs w:val="19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headerReference w:type="first" r:id="rId10"/>
      <w:footerReference w:type="first" r:id="rId11"/>
      <w:headerReference w:type="even" r:id="rId12"/>
      <w:footerReference w:type="even" r:id="rId13"/>
      <w:pgSz w:w="11906" w:h="16838" w:orient="portrait"/>
      <w:pgMar w:top="1134" w:right="1440" w:bottom="1134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Inter" w:cs="Inter" w:eastAsia="Inter" w:hAnsi="Inter"/>
        <w:b w:val="false"/>
        <w:bCs w:val="false"/>
        <w:i w:val="false"/>
        <w:iCs w:val="false"/>
        <w:color w:val="808080"/>
        <w:sz w:val="16"/>
        <w:szCs w:val="16"/>
      </w:rPr>
      <w:t xml:space="preserve">ISO/IEC 27001:2022 Implementation Kit  ·  sameerkhairkar.com        Page </w:t>
    </w:r>
    <w:r>
      <w:rPr>
        <w:rFonts w:ascii="Inter" w:cs="Inter" w:eastAsia="Inter" w:hAnsi="Inter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Inter" w:cs="Inter" w:eastAsia="Inter" w:hAnsi="Inter"/>
        <w:b w:val="false"/>
        <w:bCs w:val="false"/>
        <w:i w:val="false"/>
        <w:iCs w:val="false"/>
        <w:color w:val="808080"/>
        <w:sz w:val="16"/>
        <w:szCs w:val="16"/>
      </w:rPr>
      <w:t xml:space="preserve"> of </w:t>
    </w:r>
    <w:r>
      <w:rPr>
        <w:rFonts w:ascii="Inter" w:cs="Inter" w:eastAsia="Inter" w:hAnsi="Inter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BFBFBF" w:sz="4" w:space="4"/>
      </w:pBdr>
      <w:jc w:val="right"/>
    </w:pPr>
    <w:r>
      <w:rPr>
        <w:rFonts w:ascii="Inter" w:cs="Inter" w:eastAsia="Inter" w:hAnsi="Inter"/>
        <w:b w:val="false"/>
        <w:bCs w:val="false"/>
        <w:i w:val="false"/>
        <w:iCs w:val="false"/>
        <w:color w:val="808080"/>
        <w:sz w:val="16"/>
        <w:szCs w:val="16"/>
      </w:rPr>
      <w:t>[YOUR ORGANISATION]  |  Document Control Procedure  |  [Classification]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20" w:hanging="240"/>
      </w:pPr>
    </w:lvl>
    <w:lvl w:ilvl="1" w15:tentative="1">
      <w:start w:val="1"/>
      <w:numFmt w:val="bullet"/>
      <w:lvlText w:val="–"/>
      <w:lvlJc w:val="left"/>
      <w:pPr>
        <w:ind w:left="84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00" w:hanging="32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nter" w:cs="Inter" w:eastAsia="Inter" w:hAnsi="Inter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rPr>
      <w:color w:val="1A1A1A"/>
      <w:sz w:val="26"/>
      <w:szCs w:val="26"/>
    </w:rPr>
  </w:style>
  <w:style w:type="paragraph" w:styleId="Heading3">
    <w:name w:val="Heading 3"/>
    <w:basedOn w:val="Normal"/>
    <w:next w:val="Normal"/>
    <w:qFormat/>
    <w:rPr>
      <w:color w:val="1A1A1A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1A1A1A"/>
    </w:rPr>
  </w:style>
  <w:style w:type="paragraph" w:styleId="Heading5">
    <w:name w:val="Heading 5"/>
    <w:basedOn w:val="Normal"/>
    <w:next w:val="Normal"/>
    <w:qFormat/>
    <w:rPr>
      <w:color w:val="1A1A1A"/>
    </w:rPr>
  </w:style>
  <w:style w:type="paragraph" w:styleId="Heading6">
    <w:name w:val="Heading 6"/>
    <w:basedOn w:val="Normal"/>
    <w:next w:val="Normal"/>
    <w:qFormat/>
    <w:rPr>
      <w:color w:val="1A1A1A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Control Procedure</dc:title>
  <dc:creator>Sameer Khairkar</dc:creator>
  <dc:description>ISO/IEC 27001:2022 Clauses 7.5.2 and 7.5.3. Free template from sameerkhairkar.com. Practitioner material, not legal advice.</dc:description>
  <cp:lastModifiedBy>Sameer Khairkar</cp:lastModifiedBy>
  <cp:revision>1</cp:revision>
  <dcterms:created xsi:type="dcterms:W3CDTF">2026-08-10T11:40:20.053Z</dcterms:created>
  <dcterms:modified xsi:type="dcterms:W3CDTF">2026-08-10T11:40:20.053Z</dcterms:modified>
  <cp:category>ISO/IEC 27001:2022 Implementation Kit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