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pPr>
        <w:spacing w:after="60"/>
        <w:jc w:val="left"/>
      </w:pPr>
      <w:r>
        <w:rPr>
          <w:rFonts w:ascii="Inter" w:cs="Inter" w:eastAsia="Inter" w:hAnsi="Inter"/>
          <w:b/>
          <w:bCs/>
          <w:i w:val="false"/>
          <w:iCs w:val="false"/>
          <w:color w:val="595959"/>
          <w:sz w:val="22"/>
          <w:szCs w:val="22"/>
        </w:rPr>
        <w:t>Free ISO 27001 kit  ·  sameerkhairkar.com</w:t>
      </w:r>
    </w:p>
    <w:p>
      <w:pPr>
        <w:pBdr>
          <w:bottom w:val="single" w:color="D9D9D9" w:sz="12" w:space="6"/>
        </w:pBdr>
        <w:spacing w:after="300"/>
        <w:jc w:val="left"/>
      </w:pPr>
      <w:r>
        <w:rPr>
          <w:rFonts w:ascii="Inter" w:cs="Inter" w:eastAsia="Inter" w:hAnsi="Inter"/>
          <w:b w:val="false"/>
          <w:bCs w:val="false"/>
          <w:i w:val="false"/>
          <w:iCs w:val="false"/>
          <w:color w:val="808080"/>
          <w:sz w:val="19"/>
          <w:szCs w:val="19"/>
        </w:rPr>
        <w:t xml:space="preserve">ISO/IEC 27001:2022 Implementation Kit</w:t>
      </w:r>
    </w:p>
    <w:p>
      <w:pPr>
        <w:spacing w:after="100"/>
      </w:pPr>
      <w:r>
        <w:rPr>
          <w:rFonts w:ascii="Inter" w:cs="Inter" w:eastAsia="Inter" w:hAnsi="Inter"/>
          <w:b/>
          <w:bCs/>
          <w:i w:val="false"/>
          <w:iCs w:val="false"/>
          <w:color w:val="1A1A1A"/>
          <w:sz w:val="44"/>
          <w:szCs w:val="44"/>
        </w:rPr>
        <w:t xml:space="preserve">Information Security Risk Management Methodology</w:t>
      </w:r>
    </w:p>
    <w:p>
      <w:pPr>
        <w:spacing w:after="400"/>
      </w:pPr>
      <w:r>
        <w:rPr>
          <w:rFonts w:ascii="Inter" w:cs="Inter" w:eastAsia="Inter" w:hAnsi="Inter"/>
          <w:b w:val="false"/>
          <w:bCs w:val="false"/>
          <w:i w:val="false"/>
          <w:iCs w:val="false"/>
          <w:color w:val="595959"/>
          <w:sz w:val="24"/>
          <w:szCs w:val="24"/>
        </w:rPr>
        <w:t xml:space="preserve">ISO/IEC 27001:2022 Clauses 6.1.2 and 6.1.3, aligned with ISO/IEC 27005:2022</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Organisation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[YOUR ORGANISATION]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type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Mandatory documented information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reference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[DOC-REF]</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Version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 draft]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[AUTHOR NAME AND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owner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Approval 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review due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 normally 12 months]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Classification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 Confidential]</w:t>
            </w:r>
          </w:p>
        </w:tc>
      </w:tr>
    </w:tbl>
    <w:p>
      <w:r>
        <w:rPr>
          <w:rFonts w:ascii="Inter" w:cs="Inter" w:eastAsia="Inter" w:hAnsi="Inter"/>
          <w:b w:val="false"/>
          <w:bCs w:val="false"/>
          <w:i w:val="false"/>
          <w:iCs w:val="false"/>
          <w:color w:val="000000"/>
          <w:sz w:val="21"/>
          <w:szCs w:val="21"/>
        </w:rPr>
        <w:t xml:space="preserve"/>
      </w:r>
    </w:p>
    <w:p>
      <w:pPr>
        <w:spacing w:after="120" w:line="264"/>
      </w:pPr>
      <w:r>
        <w:rPr>
          <w:rFonts w:ascii="Inter" w:cs="Inter" w:eastAsia="Inter" w:hAnsi="Inter"/>
          <w:b w:val="false"/>
          <w:bCs w:val="false"/>
          <w:i/>
          <w:iCs/>
          <w:color w:val="808080"/>
          <w:sz w:val="17"/>
          <w:szCs w:val="17"/>
        </w:rPr>
        <w:t>This is a free template. Text in [square brackets] must be completed or deleted before the document is issued. Shaded GUIDANCE boxes are notes to whoever is filling it in and must be deleted before issue.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 Purpose and scope</w:t>
      </w:r>
    </w:p>
    <w:p>
      <w:pPr>
        <w:spacing w:after="120" w:line="264"/>
      </w:pPr>
      <w:r>
        <w:rPr>
          <w:rFonts w:ascii="Inter" w:cs="Inter" w:eastAsia="Inter" w:hAnsi="Inter"/>
          <w:b w:val="false"/>
          <w:bCs w:val="false"/>
          <w:i w:val="false"/>
          <w:iCs w:val="false"/>
          <w:color w:val="000000"/>
          <w:sz w:val="21"/>
          <w:szCs w:val="21"/>
        </w:rPr>
        <w:t>This document defines how [YOUR ORGANISATION] identifies, analyses, evaluates and treats information security risk. It satisfies Clauses 6.1.2 and 6.1.3 of ISO/IEC 27001:2022, which require the risk assessment and risk treatment processes to be defined and retained as documented information. The approach is aligned with the guidance in ISO/IEC 27005:2022.</w:t>
      </w:r>
    </w:p>
    <w:p>
      <w:pPr>
        <w:spacing w:after="120" w:line="264"/>
      </w:pPr>
      <w:r>
        <w:rPr>
          <w:rFonts w:ascii="Inter" w:cs="Inter" w:eastAsia="Inter" w:hAnsi="Inter"/>
          <w:b w:val="false"/>
          <w:bCs w:val="false"/>
          <w:i w:val="false"/>
          <w:iCs w:val="false"/>
          <w:color w:val="000000"/>
          <w:sz w:val="21"/>
          <w:szCs w:val="21"/>
        </w:rPr>
        <w:t xml:space="preserve">It applies to all information and information systems within the ISMS scope [DOC-REF].</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2. Roles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166"/>
        <w:gridCol w:w="6860"/>
      </w:tblGrid>
      <w:tr>
        <w:trPr>
          <w:tblHeader/>
        </w:trPr>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Role</w:t>
            </w:r>
          </w:p>
        </w:tc>
        <w:tc>
          <w:tcPr>
            <w:tcW w:type="dxa" w:w="686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Responsibility in the risk process</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Top management</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Approves this methodology and the risk acceptance criteria. Accepts residual risk above the acceptance threshold.</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Owns the process, maintains the risk register, facilitates assessments, reports risk status.</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owners</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Own individual risks. Provide impact and likelihood input, decide treatment, and accept residual risk within their authority.</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Asset owners</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Identify what needs protecting and the consequences of its compromise.</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Control owners</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Implement and operate the controls selected in treatment.</w:t>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3. When risk assessment is performed</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069"/>
        <w:gridCol w:w="4152"/>
        <w:gridCol w:w="1805"/>
      </w:tblGrid>
      <w:tr>
        <w:trPr>
          <w:tblHeader/>
        </w:trPr>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Trigger</w:t>
            </w:r>
          </w:p>
        </w:tc>
        <w:tc>
          <w:tcPr>
            <w:tcW w:type="dxa" w:w="415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Scope of assessment</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Annually</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Full reassessment of the register</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Quarterly</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Review of open and high-rated risks; new risks captured</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New or materially changed system, service or supplier</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Targeted assessment before go-live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[Project / service owner]</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Significant organisational change (new site, entity, acquisition, major restructure)</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Targeted assessment plus scope review</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After a significant incident</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Targeted reassessment of the affected area</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Significant change in the threat landscape</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Targeted assessment</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4. Risk identification</w:t>
      </w:r>
    </w:p>
    <w:p>
      <w:pPr>
        <w:pStyle w:val="Heading2"/>
        <w:spacing w:after="110" w:before="260"/>
      </w:pPr>
      <w:r>
        <w:rPr>
          <w:rFonts w:ascii="Inter" w:cs="Inter" w:eastAsia="Inter" w:hAnsi="Inter"/>
          <w:b/>
          <w:bCs/>
          <w:i w:val="false"/>
          <w:iCs w:val="false"/>
          <w:color w:val="595959"/>
          <w:sz w:val="24"/>
          <w:szCs w:val="24"/>
        </w:rPr>
        <w:t xml:space="preserve">4.1 Choice of approach</w:t>
      </w:r>
    </w:p>
    <w:p>
      <w:pPr>
        <w:spacing w:after="120" w:line="264"/>
      </w:pPr>
      <w:r>
        <w:rPr>
          <w:rFonts w:ascii="Inter" w:cs="Inter" w:eastAsia="Inter" w:hAnsi="Inter"/>
          <w:b w:val="false"/>
          <w:bCs w:val="false"/>
          <w:i w:val="false"/>
          <w:iCs w:val="false"/>
          <w:color w:val="000000"/>
          <w:sz w:val="21"/>
          <w:szCs w:val="21"/>
        </w:rPr>
        <w:t xml:space="preserve">There is more than one legitimate way to identify information security risk, and the standard does not mandate one. Two are in common use, and they can be combined.</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444"/>
        <w:gridCol w:w="3069"/>
        <w:gridCol w:w="2527"/>
        <w:gridCol w:w="1986"/>
      </w:tblGrid>
      <w:tr>
        <w:trPr>
          <w:tblHeader/>
        </w:trPr>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Approach</w:t>
            </w:r>
          </w:p>
        </w:tc>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How it works</w:t>
            </w:r>
          </w:p>
        </w:tc>
        <w:tc>
          <w:tcPr>
            <w:tcW w:type="dxa" w:w="252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Suits</w:t>
            </w:r>
          </w:p>
        </w:tc>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Weakness</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Asset-based</w:t>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Start from the asset inventory. For each asset, consider threats, then vulnerabilities that let those threats land, then consequences.</w:t>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Organisations with a reasonably complete asset inventory; first-time implementations; auditors find it easy to follow</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Produces volume. Can miss risks that cut across assets or arise from process failure rather than asset compromise.</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Event-based</w:t>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Start from the events or scenarios that would damage the business, then work backwards to what would have to fail for them to happen.</w:t>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Mature organisations; complex or cloud-native estates where "asset" is a slippery concept; engaging senior stakeholders</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Depends on the imagination of the people in the room. Can leave blind spots where nobody thought of the scenario.</w:t>
            </w:r>
          </w:p>
        </w:tc>
      </w:tr>
    </w:tbl>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Approach adopted by [YOUR ORGANISATION]: </w:t>
      </w:r>
      <w:r>
        <w:rPr>
          <w:rFonts w:ascii="Inter" w:cs="Inter" w:eastAsia="Inter" w:hAnsi="Inter"/>
          <w:b w:val="false"/>
          <w:bCs w:val="false"/>
          <w:i/>
          <w:iCs/>
          <w:color w:val="595959"/>
          <w:sz w:val="21"/>
          <w:szCs w:val="21"/>
        </w:rPr>
        <w:t xml:space="preserve">[e.g. "Primarily asset-based, using the asset inventory as the starting point, supplemented by event-based identification for cross-cutting scenarios such as ransomware, supplier failure and insider misuse."]</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State the choice explicitly and stick to it. An auditor is not looking for a particular method; they are looking for a method that was decided, documented and then actually followed. Switching approach halfway produces a register that cannot be compared with itself, which breaks Clause 6.1.2 b.</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ISO/IEC 27003 advises against making the first cycle too detailed: a high level but clear picture of the risks is far better than no picture at all, and the detail is refined in later iterations. It also expects a broad risk assessment at least once a year. Say this at the first workshop - it removes the paralysis that comes from trying to get the register perfect on the first pass.</w:t>
      </w:r>
    </w:p>
    <w:p>
      <w:pPr>
        <w:pStyle w:val="Heading2"/>
        <w:spacing w:after="110" w:before="260"/>
      </w:pPr>
      <w:r>
        <w:rPr>
          <w:rFonts w:ascii="Inter" w:cs="Inter" w:eastAsia="Inter" w:hAnsi="Inter"/>
          <w:b/>
          <w:bCs/>
          <w:i w:val="false"/>
          <w:iCs w:val="false"/>
          <w:color w:val="595959"/>
          <w:sz w:val="24"/>
          <w:szCs w:val="24"/>
        </w:rPr>
        <w:t xml:space="preserve">4.2 Identification steps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Take the asset inventory as the starting point. For each asset or asset group in scope, consider the consequences of a loss of confidentiality, integrity or availability.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Identify credible threats. Sources include the threat catalogue in Annex A of this document, threat intelligence, incident history, penetration test findings and industry reporting.</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Identify the vulnerabilities or weaknesses that would allow each threat to be realised.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Express each risk as a scenario: a threat exploiting a vulnerability to cause a consequence to an asset. A risk written as a single word ("phishing") cannot be scored meaningfully.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Assign a risk owner - a named individual with the authority to make decisions about the risk, not a department.</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Insist on scenario form. "Attacker obtains valid credentials through phishing and exports the customer database" can be scored, treated and tested. "Phishing" cannot.</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5. Risk analysis</w:t>
      </w:r>
    </w:p>
    <w:p>
      <w:pPr>
        <w:pStyle w:val="Heading2"/>
        <w:spacing w:after="110" w:before="260"/>
      </w:pPr>
      <w:r>
        <w:rPr>
          <w:rFonts w:ascii="Inter" w:cs="Inter" w:eastAsia="Inter" w:hAnsi="Inter"/>
          <w:b/>
          <w:bCs/>
          <w:i w:val="false"/>
          <w:iCs w:val="false"/>
          <w:color w:val="595959"/>
          <w:sz w:val="24"/>
          <w:szCs w:val="24"/>
        </w:rPr>
        <w:t xml:space="preserve">5.1 Consequence (impact) scale</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Calibrate the financial column to the organisation. If a EUR 50,000 loss would not trouble the board, the scale is wrong and every risk will score low.</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632"/>
        <w:gridCol w:w="1083"/>
        <w:gridCol w:w="1264"/>
        <w:gridCol w:w="2347"/>
        <w:gridCol w:w="1895"/>
        <w:gridCol w:w="1805"/>
      </w:tblGrid>
      <w:tr>
        <w:trPr>
          <w:tblHeader/>
        </w:trPr>
        <w:tc>
          <w:tcPr>
            <w:tcW w:type="dxa" w:w="63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Level</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Descriptor</w:t>
            </w:r>
          </w:p>
        </w:tc>
        <w:tc>
          <w:tcPr>
            <w:tcW w:type="dxa" w:w="126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Financial</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Operational</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Legal / regulatory</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Reputational</w:t>
            </w:r>
          </w:p>
        </w:tc>
      </w:tr>
      <w:tr>
        <w:tc>
          <w:tcPr>
            <w:tcW w:type="dxa" w:w="6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Very high</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[&gt; X]</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Critical service unavailable &gt; [X] days</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Regulatory sanction; licence at risk</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National coverage; major customer loss</w:t>
            </w:r>
          </w:p>
        </w:tc>
      </w:tr>
      <w:tr>
        <w:tc>
          <w:tcPr>
            <w:tcW w:type="dxa" w:w="6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High</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[X - Y]</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Critical service unavailable [X] hours - [X] days</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Reportable breach; likely fine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Sector press; multiple customer complaints</w:t>
            </w:r>
          </w:p>
        </w:tc>
      </w:tr>
      <w:tr>
        <w:tc>
          <w:tcPr>
            <w:tcW w:type="dxa" w:w="6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Medium</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[X - Y]</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Significant degradation for [X] hours</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Reportable breach; unlikely fine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Some customer concern; contained</w:t>
            </w:r>
          </w:p>
        </w:tc>
      </w:tr>
      <w:tr>
        <w:tc>
          <w:tcPr>
            <w:tcW w:type="dxa" w:w="6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Low</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[X - Y]</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Minor degradation, workarounds available</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breach of policy</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only</w:t>
            </w:r>
          </w:p>
        </w:tc>
      </w:tr>
      <w:tr>
        <w:tc>
          <w:tcPr>
            <w:tcW w:type="dxa" w:w="6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Very low</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[&lt; X]</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Negligible</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None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None</w:t>
            </w:r>
          </w:p>
        </w:tc>
      </w:tr>
    </w:tbl>
    <w:p>
      <w:pPr>
        <w:pStyle w:val="Heading2"/>
        <w:spacing w:after="110" w:before="260"/>
      </w:pPr>
      <w:r>
        <w:rPr>
          <w:rFonts w:ascii="Inter" w:cs="Inter" w:eastAsia="Inter" w:hAnsi="Inter"/>
          <w:b/>
          <w:bCs/>
          <w:i w:val="false"/>
          <w:iCs w:val="false"/>
          <w:color w:val="595959"/>
          <w:sz w:val="24"/>
          <w:szCs w:val="24"/>
        </w:rPr>
        <w:t xml:space="preserve">5.2 Likelihood scale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903"/>
        <w:gridCol w:w="1805"/>
        <w:gridCol w:w="6318"/>
      </w:tblGrid>
      <w:tr>
        <w:trPr>
          <w:tblHeader/>
        </w:trPr>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Level</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Descriptor</w:t>
            </w:r>
          </w:p>
        </w:tc>
        <w:tc>
          <w:tcPr>
            <w:tcW w:type="dxa" w:w="631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Interpretation</w:t>
            </w:r>
          </w:p>
        </w:tc>
      </w:tr>
      <w:tr>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Almost certain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Expected to occur, or has occurred more than once in the last year</w:t>
            </w:r>
          </w:p>
        </w:tc>
      </w:tr>
      <w:tr>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Likely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Expected at least once a year</w:t>
            </w:r>
          </w:p>
        </w:tc>
      </w:tr>
      <w:tr>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Possible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Might occur once in one to three years</w:t>
            </w:r>
          </w:p>
        </w:tc>
      </w:tr>
      <w:tr>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Unlikely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Might occur once in three to ten years</w:t>
            </w:r>
          </w:p>
        </w:tc>
      </w:tr>
      <w:tr>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Rare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Not expected within ten years</w:t>
            </w:r>
          </w:p>
        </w:tc>
      </w:tr>
    </w:tbl>
    <w:p>
      <w:pPr>
        <w:pStyle w:val="Heading2"/>
        <w:spacing w:after="110" w:before="260"/>
      </w:pPr>
      <w:r>
        <w:rPr>
          <w:rFonts w:ascii="Inter" w:cs="Inter" w:eastAsia="Inter" w:hAnsi="Inter"/>
          <w:b/>
          <w:bCs/>
          <w:i w:val="false"/>
          <w:iCs w:val="false"/>
          <w:color w:val="595959"/>
          <w:sz w:val="24"/>
          <w:szCs w:val="24"/>
        </w:rPr>
        <w:t xml:space="preserve">5.3 Risk level</w:t>
      </w:r>
    </w:p>
    <w:p>
      <w:pPr>
        <w:spacing w:after="120" w:line="264"/>
      </w:pPr>
      <w:r>
        <w:rPr>
          <w:rFonts w:ascii="Inter" w:cs="Inter" w:eastAsia="Inter" w:hAnsi="Inter"/>
          <w:b w:val="false"/>
          <w:bCs w:val="false"/>
          <w:i w:val="false"/>
          <w:iCs w:val="false"/>
          <w:color w:val="000000"/>
          <w:sz w:val="21"/>
          <w:szCs w:val="21"/>
        </w:rPr>
        <w:t xml:space="preserve">Risk level = Consequence x Likelihood, giving a score from 1 to 25.</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264"/>
        <w:gridCol w:w="1264"/>
        <w:gridCol w:w="6499"/>
      </w:tblGrid>
      <w:tr>
        <w:trPr>
          <w:tblHeader/>
        </w:trPr>
        <w:tc>
          <w:tcPr>
            <w:tcW w:type="dxa" w:w="126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Score</w:t>
            </w:r>
          </w:p>
        </w:tc>
        <w:tc>
          <w:tcPr>
            <w:tcW w:type="dxa" w:w="126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Rating</w:t>
            </w:r>
          </w:p>
        </w:tc>
        <w:tc>
          <w:tcPr>
            <w:tcW w:type="dxa" w:w="649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Meaning</w:t>
            </w:r>
          </w:p>
        </w:tc>
      </w:tr>
      <w:tr>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15 - 25</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Critical</w:t>
            </w:r>
          </w:p>
        </w:tc>
        <w:tc>
          <w:tcPr>
            <w:tcW w:type="dxa" w:w="649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Unacceptable. Requires immediate treatment and top management attention.</w:t>
            </w:r>
          </w:p>
        </w:tc>
      </w:tr>
      <w:tr>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10 - 14</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High</w:t>
            </w:r>
          </w:p>
        </w:tc>
        <w:tc>
          <w:tcPr>
            <w:tcW w:type="dxa" w:w="649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Unacceptable. Treatment required with a defined plan and date.</w:t>
            </w:r>
          </w:p>
        </w:tc>
      </w:tr>
      <w:tr>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5 - 9</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Medium</w:t>
            </w:r>
          </w:p>
        </w:tc>
        <w:tc>
          <w:tcPr>
            <w:tcW w:type="dxa" w:w="649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Treat where reasonably practicable, or accept with risk owner approval.</w:t>
            </w:r>
          </w:p>
        </w:tc>
      </w:tr>
      <w:tr>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1 - 4</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Low</w:t>
            </w:r>
          </w:p>
        </w:tc>
        <w:tc>
          <w:tcPr>
            <w:tcW w:type="dxa" w:w="649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Normally accepted. Monitored through the periodic review cycle.</w:t>
            </w:r>
          </w:p>
        </w:tc>
      </w:tr>
    </w:tbl>
    <w:p>
      <w:pPr>
        <w:pStyle w:val="Heading2"/>
        <w:spacing w:after="110" w:before="260"/>
      </w:pPr>
      <w:r>
        <w:rPr>
          <w:rFonts w:ascii="Inter" w:cs="Inter" w:eastAsia="Inter" w:hAnsi="Inter"/>
          <w:b/>
          <w:bCs/>
          <w:i w:val="false"/>
          <w:iCs w:val="false"/>
          <w:color w:val="595959"/>
          <w:sz w:val="24"/>
          <w:szCs w:val="24"/>
        </w:rPr>
        <w:t xml:space="preserve">5.4 Inherent and residual risk</w:t>
      </w:r>
    </w:p>
    <w:p>
      <w:pPr>
        <w:spacing w:after="120" w:line="264"/>
      </w:pPr>
      <w:r>
        <w:rPr>
          <w:rFonts w:ascii="Inter" w:cs="Inter" w:eastAsia="Inter" w:hAnsi="Inter"/>
          <w:b w:val="false"/>
          <w:bCs w:val="false"/>
          <w:i w:val="false"/>
          <w:iCs w:val="false"/>
          <w:color w:val="000000"/>
          <w:sz w:val="21"/>
          <w:szCs w:val="21"/>
        </w:rPr>
        <w:t xml:space="preserve">Risks are scored twice. Inherent risk is scored disregarding the controls currently in place. Residual risk is scored taking account of controls that are actually operating and evidenced. A control that exists on paper but is not operating does not reduce residual risk.</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6. Risk evaluation and acceptance</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Risk acceptance threshold: </w:t>
      </w:r>
      <w:r>
        <w:rPr>
          <w:rFonts w:ascii="Inter" w:cs="Inter" w:eastAsia="Inter" w:hAnsi="Inter"/>
          <w:b w:val="false"/>
          <w:bCs w:val="false"/>
          <w:i/>
          <w:iCs/>
          <w:color w:val="595959"/>
          <w:sz w:val="21"/>
          <w:szCs w:val="21"/>
        </w:rPr>
        <w:t xml:space="preserve">[e.g. Residual risk scoring 9 or below may be accepted by the risk owner. Residual risk scoring 10 to 14 requires acceptance by the Information Security Committee. Residual risk scoring 15 or above requires acceptance by top management and must be reported at the next management review.]</w:t>
      </w:r>
    </w:p>
    <w:p>
      <w:pPr>
        <w:spacing w:after="120" w:line="264"/>
      </w:pPr>
      <w:r>
        <w:rPr>
          <w:rFonts w:ascii="Inter" w:cs="Inter" w:eastAsia="Inter" w:hAnsi="Inter"/>
          <w:b w:val="false"/>
          <w:bCs w:val="false"/>
          <w:i w:val="false"/>
          <w:iCs w:val="false"/>
          <w:color w:val="000000"/>
          <w:sz w:val="21"/>
          <w:szCs w:val="21"/>
        </w:rPr>
        <w:t xml:space="preserve">All acceptance decisions are recorded in the risk register with the name of the accepting individual and the date.</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7. Risk treatment</w:t>
      </w:r>
    </w:p>
    <w:p>
      <w:pPr>
        <w:pStyle w:val="Heading2"/>
        <w:spacing w:after="110" w:before="260"/>
      </w:pPr>
      <w:r>
        <w:rPr>
          <w:rFonts w:ascii="Inter" w:cs="Inter" w:eastAsia="Inter" w:hAnsi="Inter"/>
          <w:b/>
          <w:bCs/>
          <w:i w:val="false"/>
          <w:iCs w:val="false"/>
          <w:color w:val="595959"/>
          <w:sz w:val="24"/>
          <w:szCs w:val="24"/>
        </w:rPr>
        <w:t xml:space="preserve">7.1 Treatment options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444"/>
        <w:gridCol w:w="3610"/>
        <w:gridCol w:w="3971"/>
      </w:tblGrid>
      <w:tr>
        <w:trPr>
          <w:tblHeader/>
        </w:trPr>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Option</w:t>
            </w:r>
          </w:p>
        </w:tc>
        <w:tc>
          <w:tcPr>
            <w:tcW w:type="dxa" w:w="361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Meaning</w:t>
            </w:r>
          </w:p>
        </w:tc>
        <w:tc>
          <w:tcPr>
            <w:tcW w:type="dxa" w:w="397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Example</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Modify (reduce)</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Change the likelihood, the consequence, or both, by applying controls</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Enforce MFA to reduce the likelihood of credential compromise</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Avoid</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Decide not to start or continue the activity that gives rise to the risk, or remove the risk source</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Cease storing card data and use a payment provider</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Share (transfer)</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Share the consequence with another party through insurance, subcontracting or risk financing</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Cyber insurance; contractual allocation to a supplier</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Retain (accept)</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Take the risk knowingly, within the acceptance criteria or by informed decision</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Accept a low-rated availability risk on a non-critical internal tool</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Take or increase</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Accept additional risk deliberately in order to pursue a business opportunity</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Open a customer-facing portal that expands the attack surface because the commercial case justifies it</w:t>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The fifth option surprises people. ISO/IEC 27003 lists it explicitly, and it matters commercially: it is the option that lets an ISMS say yes to something risky with its eyes open, rather than pretending security only ever subtracts. Use it, minute the decision, and the ISMS stops being seen as the department of no.</w:t>
      </w:r>
    </w:p>
    <w:p>
      <w:pPr>
        <w:spacing w:after="120" w:line="264"/>
      </w:pPr>
      <w:r>
        <w:rPr>
          <w:rFonts w:ascii="Inter" w:cs="Inter" w:eastAsia="Inter" w:hAnsi="Inter"/>
          <w:b w:val="false"/>
          <w:bCs w:val="false"/>
          <w:i w:val="false"/>
          <w:iCs w:val="false"/>
          <w:color w:val="000000"/>
          <w:sz w:val="21"/>
          <w:szCs w:val="21"/>
        </w:rPr>
        <w:t xml:space="preserve">Sharing a risk does not remove accountability. The organisation remains answerable to its customers and regulators regardless of contractual arrangements.</w:t>
      </w:r>
    </w:p>
    <w:p>
      <w:pPr>
        <w:pStyle w:val="Heading2"/>
        <w:spacing w:after="110" w:before="260"/>
      </w:pPr>
      <w:r>
        <w:rPr>
          <w:rFonts w:ascii="Inter" w:cs="Inter" w:eastAsia="Inter" w:hAnsi="Inter"/>
          <w:b/>
          <w:bCs/>
          <w:i w:val="false"/>
          <w:iCs w:val="false"/>
          <w:color w:val="595959"/>
          <w:sz w:val="24"/>
          <w:szCs w:val="24"/>
        </w:rPr>
        <w:t xml:space="preserve">7.2 Determining controls</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For each risk to be modified, determine the controls necessary to bring residual risk within the acceptance criteria.</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Compare the determined controls against the reference set in Annex A of ISO/IEC 27001:2022, control by control, to verify that no necessary control has been overlooked. This comparison is recorded on the "03 Annex A and SoA" tab of the ISMS workbook.</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Controls may also be drawn from other sources where they suit the risk better. Any control from outside Annex A is recorded in the Statement of Applicability as an additional control.</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Produce the Statement of Applicability, recording for every Annex A control whether it is applicable, the justification for its inclusion or exclusion, and whether it is implemented.</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Produce the Risk Treatment Plan setting out actions, owners, resources and dates.</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Obtain risk owner approval of the plan and formal acceptance of the residual risks.</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8. Monitoring and reporting</w:t>
      </w:r>
    </w:p>
    <w:p>
      <w:pPr>
        <w:pStyle w:val="ListParagraph"/>
        <w:numPr>
          <w:ilvl w:val="0"/>
          <w:numId w:val="4"/>
        </w:numPr>
        <w:spacing w:after="70" w:line="264"/>
      </w:pPr>
      <w:r>
        <w:rPr>
          <w:rFonts w:ascii="Inter" w:cs="Inter" w:eastAsia="Inter" w:hAnsi="Inter"/>
          <w:b w:val="false"/>
          <w:bCs w:val="false"/>
          <w:i w:val="false"/>
          <w:iCs w:val="false"/>
          <w:color w:val="000000"/>
          <w:sz w:val="21"/>
          <w:szCs w:val="21"/>
        </w:rPr>
        <w:t xml:space="preserve">The risk register is maintained continuously by the [ISMS Manager] and reviewed at each [Information Security Committee] meeting.</w:t>
      </w:r>
    </w:p>
    <w:p>
      <w:pPr>
        <w:pStyle w:val="ListParagraph"/>
        <w:numPr>
          <w:ilvl w:val="0"/>
          <w:numId w:val="4"/>
        </w:numPr>
        <w:spacing w:after="70" w:line="264"/>
      </w:pPr>
      <w:r>
        <w:rPr>
          <w:rFonts w:ascii="Inter" w:cs="Inter" w:eastAsia="Inter" w:hAnsi="Inter"/>
          <w:b w:val="false"/>
          <w:bCs w:val="false"/>
          <w:i w:val="false"/>
          <w:iCs w:val="false"/>
          <w:color w:val="000000"/>
          <w:sz w:val="21"/>
          <w:szCs w:val="21"/>
        </w:rPr>
        <w:t xml:space="preserve">Risk treatment progress is reported [monthly] against the Risk Treatment Plan.</w:t>
      </w:r>
    </w:p>
    <w:p>
      <w:pPr>
        <w:pStyle w:val="ListParagraph"/>
        <w:numPr>
          <w:ilvl w:val="0"/>
          <w:numId w:val="4"/>
        </w:numPr>
        <w:spacing w:after="70" w:line="264"/>
      </w:pPr>
      <w:r>
        <w:rPr>
          <w:rFonts w:ascii="Inter" w:cs="Inter" w:eastAsia="Inter" w:hAnsi="Inter"/>
          <w:b w:val="false"/>
          <w:bCs w:val="false"/>
          <w:i w:val="false"/>
          <w:iCs w:val="false"/>
          <w:color w:val="000000"/>
          <w:sz w:val="21"/>
          <w:szCs w:val="21"/>
        </w:rPr>
        <w:t xml:space="preserve">Risk status, including any risks accepted above the threshold, is a standing input to the management review under Clause 9.3.</w:t>
      </w:r>
    </w:p>
    <w:p>
      <w:pPr>
        <w:pStyle w:val="ListParagraph"/>
        <w:numPr>
          <w:ilvl w:val="0"/>
          <w:numId w:val="4"/>
        </w:numPr>
        <w:spacing w:after="70" w:line="264"/>
      </w:pPr>
      <w:r>
        <w:rPr>
          <w:rFonts w:ascii="Inter" w:cs="Inter" w:eastAsia="Inter" w:hAnsi="Inter"/>
          <w:b w:val="false"/>
          <w:bCs w:val="false"/>
          <w:i w:val="false"/>
          <w:iCs w:val="false"/>
          <w:color w:val="000000"/>
          <w:sz w:val="21"/>
          <w:szCs w:val="21"/>
        </w:rPr>
        <w:t xml:space="preserve">Risks are re-scored after treatment actions complete, and the evidence supporting the new score is referenced in the register.</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9. Documentation</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4152"/>
        <w:gridCol w:w="2166"/>
      </w:tblGrid>
      <w:tr>
        <w:trPr>
          <w:tblHeader/>
        </w:trPr>
        <w:tc>
          <w:tcPr>
            <w:tcW w:type="dxa" w:w="270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Artefact</w:t>
            </w:r>
          </w:p>
        </w:tc>
        <w:tc>
          <w:tcPr>
            <w:tcW w:type="dxa" w:w="415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Where it lives</w:t>
            </w:r>
          </w:p>
        </w:tc>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Retained by</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register</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workbook, tab "09 Risk Register"</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treatment plan</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workbook, tab "10 Risk Treatment Plan"</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Statement of Applicability</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workbook, tab "03 Annex A and SoA"</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acceptance records</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register, plus committee minutes</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Assessment reports</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[LOCATION]</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bl>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Annex A - Starter threat list</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Use as a prompt in the risk workshop, not as the register itself. Delete what does not apply and add what is specific to the business.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166"/>
        <w:gridCol w:w="6860"/>
      </w:tblGrid>
      <w:tr>
        <w:trPr>
          <w:tblHeader/>
        </w:trPr>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Category</w:t>
            </w:r>
          </w:p>
        </w:tc>
        <w:tc>
          <w:tcPr>
            <w:tcW w:type="dxa" w:w="686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Example threats</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Human - deliberate, external</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Phishing and social engineering; credential stuffing; ransomware; exploitation of an unpatched internet-facing service; supply chain compromise; denial of service; data exfiltration by an intruder</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Human - deliberate, internal</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Misuse of privileged access; theft of data by a leaver; deliberate sabotage; unauthorised disclosure to a competitor</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Human - accidental</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Misdirected email; misconfigured cloud storage; accidental deletion; loss of a device; use of an unapproved tool for company data</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Technical failure</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Hardware failure; software defect; failed change; backup failure discovered at restore; certificate expiry; capacity exhaustion</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Supplier and third party</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Supplier breach affecting your data; supplier insolvency; subprocessor added without notice; loss of a critical SaaS service</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Physical and environmental</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Fire; flood; power failure; theft of equipment; unauthorised physical access; loss of a data centre</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Legal and compliance</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Regulatory change; personal data breach with notification obligations; contractual breach; loss of a required certification</w:t>
            </w:r>
          </w:p>
        </w:tc>
      </w:tr>
    </w:tbl>
    <w:p>
      <w:pPr>
        <w:pStyle w:val="Heading2"/>
        <w:spacing w:after="110" w:before="260"/>
      </w:pPr>
      <w:r>
        <w:rPr>
          <w:rFonts w:ascii="Inter" w:cs="Inter" w:eastAsia="Inter" w:hAnsi="Inter"/>
          <w:b/>
          <w:bCs/>
          <w:i w:val="false"/>
          <w:iCs w:val="false"/>
          <w:color w:val="595959"/>
          <w:sz w:val="24"/>
          <w:szCs w:val="24"/>
        </w:rPr>
        <w:t xml:space="preserve">Revision history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1354"/>
        <w:gridCol w:w="1805"/>
        <w:gridCol w:w="3159"/>
        <w:gridCol w:w="1625"/>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Version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Author</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Summary of change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Approved by</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Initial draft</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sectPr>
      <w:headerReference w:type="default" r:id="rId7"/>
      <w:footerReference w:type="default" r:id="rId8"/>
      <w:headerReference w:type="first" r:id="rId10"/>
      <w:footerReference w:type="first" r:id="rId11"/>
      <w:headerReference w:type="even" r:id="rId12"/>
      <w:footerReference w:type="even" r:id="rId13"/>
      <w:pgSz w:w="11906" w:h="16838" w:orient="portrait"/>
      <w:pgMar w:top="1134" w:right="1440" w:bottom="1134"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Inter" w:cs="Inter" w:eastAsia="Inter" w:hAnsi="Inter"/>
        <w:b w:val="false"/>
        <w:bCs w:val="false"/>
        <w:i w:val="false"/>
        <w:iCs w:val="false"/>
        <w:color w:val="808080"/>
        <w:sz w:val="16"/>
        <w:szCs w:val="16"/>
      </w:rPr>
      <w:t xml:space="preserve">ISO/IEC 27001:2022 Implementation Kit  ·  sameerkhairkar.com        Page </w:t>
    </w:r>
    <w:r>
      <w:rPr>
        <w:rFonts w:ascii="Inter" w:cs="Inter" w:eastAsia="Inter" w:hAnsi="Inter"/>
        <w:color w:val="808080"/>
        <w:sz w:val="16"/>
        <w:szCs w:val="16"/>
      </w:rPr>
      <w:fldChar w:fldCharType="begin"/>
      <w:instrText xml:space="preserve">PAGE</w:instrText>
      <w:fldChar w:fldCharType="separate"/>
      <w:fldChar w:fldCharType="end"/>
    </w:r>
    <w:r>
      <w:rPr>
        <w:rFonts w:ascii="Inter" w:cs="Inter" w:eastAsia="Inter" w:hAnsi="Inter"/>
        <w:b w:val="false"/>
        <w:bCs w:val="false"/>
        <w:i w:val="false"/>
        <w:iCs w:val="false"/>
        <w:color w:val="808080"/>
        <w:sz w:val="16"/>
        <w:szCs w:val="16"/>
      </w:rPr>
      <w:t xml:space="preserve"> of </w:t>
    </w:r>
    <w:r>
      <w:rPr>
        <w:rFonts w:ascii="Inter" w:cs="Inter" w:eastAsia="Inter" w:hAnsi="Inter"/>
        <w:color w:val="808080"/>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4"/>
      </w:pBdr>
      <w:jc w:val="right"/>
    </w:pPr>
    <w:r>
      <w:rPr>
        <w:rFonts w:ascii="Inter" w:cs="Inter" w:eastAsia="Inter" w:hAnsi="Inter"/>
        <w:b w:val="false"/>
        <w:bCs w:val="false"/>
        <w:i w:val="false"/>
        <w:iCs w:val="false"/>
        <w:color w:val="808080"/>
        <w:sz w:val="16"/>
        <w:szCs w:val="16"/>
      </w:rPr>
      <w:t>[YOUR ORGANISATION]  |  Information Security Risk Management Methodology  |  [Classification]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40"/>
      </w:pPr>
    </w:lvl>
    <w:lvl w:ilvl="1" w15:tentative="1">
      <w:start w:val="1"/>
      <w:numFmt w:val="bullet"/>
      <w:lvlText w:val="–"/>
      <w:lvlJc w:val="left"/>
      <w:pPr>
        <w:ind w:left="840" w:hanging="240"/>
      </w:pPr>
    </w:lvl>
  </w:abstractNum>
  <w:abstractNum w:abstractNumId="3" w15:restartNumberingAfterBreak="0">
    <w:multiLevelType w:val="hybridMultilevel"/>
    <w:lvl w:ilvl="0" w15:tentative="1">
      <w:start w:val="1"/>
      <w:numFmt w:val="decimal"/>
      <w:lvlText w:val="%1."/>
      <w:lvlJc w:val="left"/>
      <w:pPr>
        <w:ind w:left="500" w:hanging="320"/>
      </w:pPr>
    </w:lvl>
  </w:abstractNum>
  <w:num w:numId="1">
    <w:abstractNumId w:val="1"/>
    <w:lvlOverride w:ilvl="0">
      <w:startOverride w:val="1"/>
    </w:lvlOverride>
  </w:num>
  <w:num w:numId="2">
    <w:abstractNumId w:val="3"/>
    <w:lvlOverride w:ilvl="0">
      <w:startOverride w:val="1"/>
    </w:lvlOverride>
  </w:num>
  <w:num w:numId="3">
    <w:abstractNumId w:val="3"/>
    <w:lvlOverride w:ilvl="0">
      <w:startOverride w:val="1"/>
    </w:lvlOverride>
  </w:num>
  <w:num w:numId="4">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1A1A1A"/>
      <w:sz w:val="32"/>
      <w:szCs w:val="32"/>
    </w:rPr>
  </w:style>
  <w:style w:type="paragraph" w:styleId="Heading2">
    <w:name w:val="Heading 2"/>
    <w:basedOn w:val="Normal"/>
    <w:next w:val="Normal"/>
    <w:qFormat/>
    <w:rPr>
      <w:color w:val="1A1A1A"/>
      <w:sz w:val="26"/>
      <w:szCs w:val="26"/>
    </w:rPr>
  </w:style>
  <w:style w:type="paragraph" w:styleId="Heading3">
    <w:name w:val="Heading 3"/>
    <w:basedOn w:val="Normal"/>
    <w:next w:val="Normal"/>
    <w:qFormat/>
    <w:rPr>
      <w:color w:val="1A1A1A"/>
      <w:sz w:val="24"/>
      <w:szCs w:val="24"/>
    </w:rPr>
  </w:style>
  <w:style w:type="paragraph" w:styleId="Heading4">
    <w:name w:val="Heading 4"/>
    <w:basedOn w:val="Normal"/>
    <w:next w:val="Normal"/>
    <w:qFormat/>
    <w:rPr>
      <w:i/>
      <w:iCs/>
      <w:color w:val="1A1A1A"/>
    </w:rPr>
  </w:style>
  <w:style w:type="paragraph" w:styleId="Heading5">
    <w:name w:val="Heading 5"/>
    <w:basedOn w:val="Normal"/>
    <w:next w:val="Normal"/>
    <w:qFormat/>
    <w:rPr>
      <w:color w:val="1A1A1A"/>
    </w:rPr>
  </w:style>
  <w:style w:type="paragraph" w:styleId="Heading6">
    <w:name w:val="Heading 6"/>
    <w:basedOn w:val="Normal"/>
    <w:next w:val="Normal"/>
    <w:qFormat/>
    <w:rPr>
      <w:color w:val="1A1A1A"/>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Security Risk Management Methodology</dc:title>
  <dc:creator>Sameer Khairkar</dc:creator>
  <dc:description>ISO/IEC 27001:2022 Clauses 6.1.2 and 6.1.3. Free template from sameerkhairkar.com. Practitioner material, not legal advice.</dc:description>
  <cp:lastModifiedBy>Sameer Khairkar</cp:lastModifiedBy>
  <cp:revision>1</cp:revision>
  <dcterms:created xsi:type="dcterms:W3CDTF">2026-08-09T23:24:38.935Z</dcterms:created>
  <dcterms:modified xsi:type="dcterms:W3CDTF">2026-08-09T23:24:38.935Z</dcterms:modified>
  <cp:category>ISO/IEC 27001:2022 Implementation Kit</cp:category>
</cp:coreProperties>
</file>

<file path=docProps/custom.xml><?xml version="1.0" encoding="utf-8"?>
<Properties xmlns="http://schemas.openxmlformats.org/officeDocument/2006/custom-properties" xmlns:vt="http://schemas.openxmlformats.org/officeDocument/2006/docPropsVTypes"/>
</file>