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Information Security Policy</w:t>
      </w:r>
    </w:p>
    <w:p>
      <w:pPr>
        <w:spacing w:after="400"/>
      </w:pPr>
      <w:r>
        <w:rPr>
          <w:rFonts w:ascii="Inter" w:cs="Inter" w:eastAsia="Inter" w:hAnsi="Inter"/>
          <w:b w:val="false"/>
          <w:bCs w:val="false"/>
          <w:i w:val="false"/>
          <w:iCs w:val="false"/>
          <w:color w:val="595959"/>
          <w:sz w:val="24"/>
          <w:szCs w:val="24"/>
        </w:rPr>
        <w:t xml:space="preserve">ISO/IEC 27001:2022 Clause 5.2</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Mandatory documented information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Keep this policy short. Three to five pages is right. It is the top of a pyramid: this policy states intent and commitment; the topic-specific policies state rules; procedures state steps. Resist the temptation to put operational detail here - it belongs in the topic policies, and putting it here means the CEO has to re-approve the whole thing every time a technical detail changes.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Purpose</w:t>
      </w:r>
    </w:p>
    <w:p>
      <w:pPr>
        <w:spacing w:after="120" w:line="264"/>
      </w:pPr>
      <w:r>
        <w:rPr>
          <w:rFonts w:ascii="Inter" w:cs="Inter" w:eastAsia="Inter" w:hAnsi="Inter"/>
          <w:b w:val="false"/>
          <w:bCs w:val="false"/>
          <w:i w:val="false"/>
          <w:iCs w:val="false"/>
          <w:color w:val="000000"/>
          <w:sz w:val="21"/>
          <w:szCs w:val="21"/>
        </w:rPr>
        <w:t>[YOUR ORGANISATION] depends on information and information systems to deliver its services. This policy sets out the organisation's commitment to protecting the confidentiality, integrity and availability of that information, and establishes the framework within which information security is managed.</w:t>
      </w:r>
    </w:p>
    <w:p>
      <w:pPr>
        <w:spacing w:after="120" w:line="264"/>
      </w:pPr>
      <w:r>
        <w:rPr>
          <w:rFonts w:ascii="Inter" w:cs="Inter" w:eastAsia="Inter" w:hAnsi="Inter"/>
          <w:b w:val="false"/>
          <w:bCs w:val="false"/>
          <w:i w:val="false"/>
          <w:iCs w:val="false"/>
          <w:color w:val="000000"/>
          <w:sz w:val="21"/>
          <w:szCs w:val="21"/>
        </w:rPr>
        <w:t xml:space="preserve">This policy satisfies Clause 5.2 of ISO/IEC 27001:2022.</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Scope</w:t>
      </w:r>
    </w:p>
    <w:p>
      <w:pPr>
        <w:spacing w:after="120" w:line="264"/>
      </w:pPr>
      <w:r>
        <w:rPr>
          <w:rFonts w:ascii="Inter" w:cs="Inter" w:eastAsia="Inter" w:hAnsi="Inter"/>
          <w:b w:val="false"/>
          <w:bCs w:val="false"/>
          <w:i w:val="false"/>
          <w:iCs w:val="false"/>
          <w:color w:val="000000"/>
          <w:sz w:val="21"/>
          <w:szCs w:val="21"/>
        </w:rPr>
        <w:t>This policy applies to all employees, contractors, temporary staff, interns and third parties acting on behalf of [YOUR ORGANISATION], and to all information and information systems within the scope of the ISMS as defined in the ISMS Scope Document [DOC-REF].</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Policy statement</w:t>
      </w:r>
    </w:p>
    <w:p>
      <w:pPr>
        <w:spacing w:after="120" w:line="264"/>
      </w:pPr>
      <w:r>
        <w:rPr>
          <w:rFonts w:ascii="Inter" w:cs="Inter" w:eastAsia="Inter" w:hAnsi="Inter"/>
          <w:b w:val="false"/>
          <w:bCs w:val="false"/>
          <w:i w:val="false"/>
          <w:iCs w:val="false"/>
          <w:color w:val="000000"/>
          <w:sz w:val="21"/>
          <w:szCs w:val="21"/>
        </w:rPr>
        <w:t>[YOUR ORGANISATION] is committed to:</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Protecting the confidentiality, integrity and availability of all information it holds, processes or transmits, whether its own or entrusted to it by customers, employees or partners.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Satisfying all applicable legal, statutory, regulatory and contractual requirements relating to information security and privacy.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Meeting the reasonable security expectations of its customers and other interested parties.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Managing information security risk systematically, using a defined and repeatable methodology, and accepting risk only through an authorised decision.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Maintaining an information security management system conforming to ISO/IEC 27001:2022 and continually improving its suitability, adequacy and effectiveness.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Providing the resources, competence and awareness required for the ISMS to operate effectively.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Responding to information security incidents promptly and learning from them.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Maintaining the continuity of its critical services and the security of information during disruption.</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Information security objectives</w:t>
      </w:r>
    </w:p>
    <w:p>
      <w:pPr>
        <w:spacing w:after="120" w:line="264"/>
      </w:pPr>
      <w:r>
        <w:rPr>
          <w:rFonts w:ascii="Inter" w:cs="Inter" w:eastAsia="Inter" w:hAnsi="Inter"/>
          <w:b w:val="false"/>
          <w:bCs w:val="false"/>
          <w:i w:val="false"/>
          <w:iCs w:val="false"/>
          <w:color w:val="000000"/>
          <w:sz w:val="21"/>
          <w:szCs w:val="21"/>
        </w:rPr>
        <w:t xml:space="preserve">Information security objectives are established, measured and reviewed by top management. They are consistent with this policy and are documented in [OBJECTIVES DOCUMENT REFERENCE / the "17 Objectives" tab of the ISMS workbook].</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You may either list objectives here or reference where they live. Referencing is better - it means you do not have to re-approve this policy every time a target changes. But the policy must at minimum provide the framework for setting them, which the sentence above does.</w:t>
      </w:r>
    </w:p>
    <w:p>
      <w:pPr>
        <w:spacing w:after="120" w:line="264"/>
      </w:pPr>
      <w:r>
        <w:rPr>
          <w:rFonts w:ascii="Inter" w:cs="Inter" w:eastAsia="Inter" w:hAnsi="Inter"/>
          <w:b w:val="false"/>
          <w:bCs w:val="false"/>
          <w:i w:val="false"/>
          <w:iCs w:val="false"/>
          <w:color w:val="000000"/>
          <w:sz w:val="21"/>
          <w:szCs w:val="21"/>
        </w:rPr>
        <w:t xml:space="preserve">Objectives are set with regard to:</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outcome of risk assessment and risk treatment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Applicable legal, regulatory and contractual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What interested parties need and expect from the organisation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organisation's strategic direction and business objectives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Organisation and responsibilities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rPr>
          <w:tblHeader/>
        </w:trPr>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631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Responsibility</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 / [BOARD OR EXCO]</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Owns this policy. Provides resources, sets the risk appetite, accepts residual risk above the defined threshold, and reviews the ISMS at planned intervals.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Security Committee]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Oversees ISMS operation and performance, reviews risks and incidents, and approves improvement priorities. Meets [quarterly].</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 / CISO]</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Day-to-day operation of the ISMS. Maintains the risk register, the Statement of Applicability and the ISMS documentation. Reports performance to top management.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Line managers</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Ensure their people apply this policy and the topic-specific policies, and that security responsibilities are met within their areas.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Asset and control owners</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Operate the controls assigned to them and produce the evidence that they operate.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Comply with this policy and the topic-specific policies, complete required training, and report suspected security events promptly.</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Audits the ISMS independently against the standard and against the organisation's own requirements.</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Policy framework</w:t>
      </w:r>
    </w:p>
    <w:p>
      <w:pPr>
        <w:spacing w:after="120" w:line="264"/>
      </w:pPr>
      <w:r>
        <w:rPr>
          <w:rFonts w:ascii="Inter" w:cs="Inter" w:eastAsia="Inter" w:hAnsi="Inter"/>
          <w:b w:val="false"/>
          <w:bCs w:val="false"/>
          <w:i w:val="false"/>
          <w:iCs w:val="false"/>
          <w:color w:val="000000"/>
          <w:sz w:val="21"/>
          <w:szCs w:val="21"/>
        </w:rPr>
        <w:t xml:space="preserve">This policy is supported by the topic-specific policies listed below. All are approved, published and communicated to those they apply to.</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5055"/>
        <w:gridCol w:w="2166"/>
        <w:gridCol w:w="1805"/>
      </w:tblGrid>
      <w:tr>
        <w:trPr>
          <w:tblHeader/>
        </w:trPr>
        <w:tc>
          <w:tcPr>
            <w:tcW w:type="dxa" w:w="505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Topic-specific policy</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Reference</w:t>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Acceptable Use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Access Control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Classification and Handling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Cryptographic Controls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Supplier and Third Party Security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Incident Management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Business Continuity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Human Resources Security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Physical and Environmental Security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Development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Backup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Logging and Monitoring Policy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[Add or remove as applicable]</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Risk management</w:t>
      </w:r>
    </w:p>
    <w:p>
      <w:pPr>
        <w:spacing w:after="120" w:line="264"/>
      </w:pPr>
      <w:r>
        <w:rPr>
          <w:rFonts w:ascii="Inter" w:cs="Inter" w:eastAsia="Inter" w:hAnsi="Inter"/>
          <w:b w:val="false"/>
          <w:bCs w:val="false"/>
          <w:i w:val="false"/>
          <w:iCs w:val="false"/>
          <w:color w:val="000000"/>
          <w:sz w:val="21"/>
          <w:szCs w:val="21"/>
        </w:rPr>
        <w:t xml:space="preserve">Information security risks are identified, analysed, evaluated and treated in accordance with the Risk Management Methodology [DOC-REF]. Risks are owned by named individuals. Residual risk above the defined acceptance threshold is accepted only by top management.</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8. Compliance and consequences</w:t>
      </w:r>
    </w:p>
    <w:p>
      <w:pPr>
        <w:spacing w:after="120" w:line="264"/>
      </w:pPr>
      <w:r>
        <w:rPr>
          <w:rFonts w:ascii="Inter" w:cs="Inter" w:eastAsia="Inter" w:hAnsi="Inter"/>
          <w:b w:val="false"/>
          <w:bCs w:val="false"/>
          <w:i w:val="false"/>
          <w:iCs w:val="false"/>
          <w:color w:val="000000"/>
          <w:sz w:val="21"/>
          <w:szCs w:val="21"/>
        </w:rPr>
        <w:t xml:space="preserve">Compliance with this policy is mandatory. Compliance is monitored through internal audit, management review, technical compliance checking and periodic management review of practice within each area.</w:t>
      </w:r>
    </w:p>
    <w:p>
      <w:pPr>
        <w:spacing w:after="120" w:line="264"/>
      </w:pPr>
      <w:r>
        <w:rPr>
          <w:rFonts w:ascii="Inter" w:cs="Inter" w:eastAsia="Inter" w:hAnsi="Inter"/>
          <w:b w:val="false"/>
          <w:bCs w:val="false"/>
          <w:i w:val="false"/>
          <w:iCs w:val="false"/>
          <w:color w:val="000000"/>
          <w:sz w:val="21"/>
          <w:szCs w:val="21"/>
        </w:rPr>
        <w:t xml:space="preserve">Failure to comply may result in action under the organisation's disciplinary process, and in the case of contractors and third parties may constitute a breach of contract. Where a breach is also a criminal offence it may be reported to the relevant authorities.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9. Reporting security events</w:t>
      </w:r>
    </w:p>
    <w:p>
      <w:pPr>
        <w:spacing w:after="120" w:line="264"/>
      </w:pPr>
      <w:r>
        <w:rPr>
          <w:rFonts w:ascii="Inter" w:cs="Inter" w:eastAsia="Inter" w:hAnsi="Inter"/>
          <w:b w:val="false"/>
          <w:bCs w:val="false"/>
          <w:i w:val="false"/>
          <w:iCs w:val="false"/>
          <w:color w:val="000000"/>
          <w:sz w:val="21"/>
          <w:szCs w:val="21"/>
        </w:rPr>
        <w:t xml:space="preserve">Anyone who observes or suspects an information security event must report it immediately via [REPORTING CHANNEL - e.g. security@company.com, the Report Phishing button, or the IT service desk]. Reporting in good faith will never result in disciplinary action, including where the reporter contributed to the event.</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That last sentence matters more than it looks. Fear of blame is the main reason incidents get reported late, and late reporting is what turns a contained event into a notifiable breach.</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10. Review</w:t>
      </w:r>
    </w:p>
    <w:p>
      <w:pPr>
        <w:spacing w:after="120" w:line="264"/>
      </w:pPr>
      <w:r>
        <w:rPr>
          <w:rFonts w:ascii="Inter" w:cs="Inter" w:eastAsia="Inter" w:hAnsi="Inter"/>
          <w:b w:val="false"/>
          <w:bCs w:val="false"/>
          <w:i w:val="false"/>
          <w:iCs w:val="false"/>
          <w:color w:val="000000"/>
          <w:sz w:val="21"/>
          <w:szCs w:val="21"/>
        </w:rPr>
        <w:t xml:space="preserve">This policy is reviewed by top management at least annually and whenever there is a significant change to the organisation, its risk profile, its obligations or the threat landscape.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11. Approval</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2347"/>
        <w:gridCol w:w="1986"/>
        <w:gridCol w:w="1625"/>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Name</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Signature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 (Top management)</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Position</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Information Security Policy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Policy</dc:title>
  <dc:creator>Sameer Khairkar</dc:creator>
  <dc:description>ISO/IEC 27001:2022 Clause 5.2. Free template from sameerkhairkar.com. Practitioner material, not legal advice.</dc:description>
  <cp:lastModifiedBy>Sameer Khairkar</cp:lastModifiedBy>
  <cp:revision>1</cp:revision>
  <dcterms:created xsi:type="dcterms:W3CDTF">2026-08-09T23:24:38.843Z</dcterms:created>
  <dcterms:modified xsi:type="dcterms:W3CDTF">2026-08-09T23:24:38.843Z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