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rFonts w:ascii="Inter" w:cs="Inter" w:eastAsia="Inter" w:hAnsi="Inter"/>
          <w:b w:val="false"/>
          <w:bCs w:val="false"/>
          <w:i w:val="false"/>
          <w:iCs w:val="false"/>
          <w:color w:val="000000"/>
          <w:sz w:val="21"/>
          <w:szCs w:val="21"/>
        </w:rPr>
        <w:t xml:space="preserve"/>
      </w:r>
    </w:p>
    <w:p>
      <w:r>
        <w:rPr>
          <w:rFonts w:ascii="Inter" w:cs="Inter" w:eastAsia="Inter" w:hAnsi="Inter"/>
          <w:b w:val="false"/>
          <w:bCs w:val="false"/>
          <w:i w:val="false"/>
          <w:iCs w:val="false"/>
          <w:color w:val="000000"/>
          <w:sz w:val="21"/>
          <w:szCs w:val="21"/>
        </w:rPr>
        <w:t xml:space="preserve"/>
      </w:r>
    </w:p>
    <w:p>
      <w:r>
        <w:rPr>
          <w:rFonts w:ascii="Inter" w:cs="Inter" w:eastAsia="Inter" w:hAnsi="Inter"/>
          <w:b w:val="false"/>
          <w:bCs w:val="false"/>
          <w:i w:val="false"/>
          <w:iCs w:val="false"/>
          <w:color w:val="000000"/>
          <w:sz w:val="21"/>
          <w:szCs w:val="21"/>
        </w:rPr>
        <w:t xml:space="preserve"/>
      </w:r>
    </w:p>
    <w:p>
      <w:r>
        <w:rPr>
          <w:rFonts w:ascii="Inter" w:cs="Inter" w:eastAsia="Inter" w:hAnsi="Inter"/>
          <w:b w:val="false"/>
          <w:bCs w:val="false"/>
          <w:i w:val="false"/>
          <w:iCs w:val="false"/>
          <w:color w:val="000000"/>
          <w:sz w:val="21"/>
          <w:szCs w:val="21"/>
        </w:rPr>
        <w:t xml:space="preserve"/>
      </w:r>
    </w:p>
    <w:p>
      <w:pPr>
        <w:spacing w:after="60"/>
        <w:jc w:val="left"/>
      </w:pPr>
      <w:r>
        <w:rPr>
          <w:rFonts w:ascii="Inter" w:cs="Inter" w:eastAsia="Inter" w:hAnsi="Inter"/>
          <w:b/>
          <w:bCs/>
          <w:i w:val="false"/>
          <w:iCs w:val="false"/>
          <w:color w:val="595959"/>
          <w:sz w:val="22"/>
          <w:szCs w:val="22"/>
        </w:rPr>
        <w:t>Free ISO 27001 kit  ·  sameerkhairkar.com</w:t>
      </w:r>
    </w:p>
    <w:p>
      <w:pPr>
        <w:pBdr>
          <w:bottom w:val="single" w:color="D9D9D9" w:sz="12" w:space="6"/>
        </w:pBdr>
        <w:spacing w:after="300"/>
        <w:jc w:val="left"/>
      </w:pPr>
      <w:r>
        <w:rPr>
          <w:rFonts w:ascii="Inter" w:cs="Inter" w:eastAsia="Inter" w:hAnsi="Inter"/>
          <w:b w:val="false"/>
          <w:bCs w:val="false"/>
          <w:i w:val="false"/>
          <w:iCs w:val="false"/>
          <w:color w:val="808080"/>
          <w:sz w:val="19"/>
          <w:szCs w:val="19"/>
        </w:rPr>
        <w:t xml:space="preserve">ISO/IEC 27001:2022 Implementation Kit</w:t>
      </w:r>
    </w:p>
    <w:p>
      <w:pPr>
        <w:spacing w:after="100"/>
      </w:pPr>
      <w:r>
        <w:rPr>
          <w:rFonts w:ascii="Inter" w:cs="Inter" w:eastAsia="Inter" w:hAnsi="Inter"/>
          <w:b/>
          <w:bCs/>
          <w:i w:val="false"/>
          <w:iCs w:val="false"/>
          <w:color w:val="1A1A1A"/>
          <w:sz w:val="44"/>
          <w:szCs w:val="44"/>
        </w:rPr>
        <w:t xml:space="preserve">ISMS Scope Document</w:t>
      </w:r>
    </w:p>
    <w:p>
      <w:pPr>
        <w:spacing w:after="400"/>
      </w:pPr>
      <w:r>
        <w:rPr>
          <w:rFonts w:ascii="Inter" w:cs="Inter" w:eastAsia="Inter" w:hAnsi="Inter"/>
          <w:b w:val="false"/>
          <w:bCs w:val="false"/>
          <w:i w:val="false"/>
          <w:iCs w:val="false"/>
          <w:color w:val="595959"/>
          <w:sz w:val="24"/>
          <w:szCs w:val="24"/>
        </w:rPr>
        <w:t xml:space="preserve">ISO/IEC 27001:2022 Clause 4.3</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2708"/>
        <w:gridCol w:w="6318"/>
      </w:tblGrid>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Organisation</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[YOUR ORGANISATION]</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Document type</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Mandatory documented information</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Document reference</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[DOC-REF]</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Version</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[0.1 draft]</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Author</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[AUTHOR NAME AND ROLE]</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Document owner</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[ROLE]</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Approved by</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[NAME, ROLE]</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Approval date</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Next review due</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 - normally 12 months]</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Classification</w:t>
            </w:r>
          </w:p>
        </w:tc>
        <w:tc>
          <w:tcPr>
            <w:tcW w:type="dxa" w:w="63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[Internal / Confidential]</w:t>
            </w:r>
          </w:p>
        </w:tc>
      </w:tr>
    </w:tbl>
    <w:p>
      <w:r>
        <w:rPr>
          <w:rFonts w:ascii="Inter" w:cs="Inter" w:eastAsia="Inter" w:hAnsi="Inter"/>
          <w:b w:val="false"/>
          <w:bCs w:val="false"/>
          <w:i w:val="false"/>
          <w:iCs w:val="false"/>
          <w:color w:val="000000"/>
          <w:sz w:val="21"/>
          <w:szCs w:val="21"/>
        </w:rPr>
        <w:t xml:space="preserve"/>
      </w:r>
    </w:p>
    <w:p>
      <w:pPr>
        <w:spacing w:after="120" w:line="264"/>
      </w:pPr>
      <w:r>
        <w:rPr>
          <w:rFonts w:ascii="Inter" w:cs="Inter" w:eastAsia="Inter" w:hAnsi="Inter"/>
          <w:b w:val="false"/>
          <w:bCs w:val="false"/>
          <w:i/>
          <w:iCs/>
          <w:color w:val="808080"/>
          <w:sz w:val="17"/>
          <w:szCs w:val="17"/>
        </w:rPr>
        <w:t>This is a free template. Text in [square brackets] must be completed or deleted before the document is issued. Shaded GUIDANCE boxes are notes to whoever is filling it in and must be deleted before issue.</w:t>
      </w:r>
    </w:p>
    <w:p>
      <w:r>
        <w:br w:type="page"/>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1. Purpose</w:t>
      </w:r>
    </w:p>
    <w:p>
      <w:pPr>
        <w:spacing w:after="120" w:line="264"/>
      </w:pPr>
      <w:r>
        <w:rPr>
          <w:rFonts w:ascii="Inter" w:cs="Inter" w:eastAsia="Inter" w:hAnsi="Inter"/>
          <w:b w:val="false"/>
          <w:bCs w:val="false"/>
          <w:i w:val="false"/>
          <w:iCs w:val="false"/>
          <w:color w:val="000000"/>
          <w:sz w:val="21"/>
          <w:szCs w:val="21"/>
        </w:rPr>
        <w:t>This document sets the boundaries of the information security management system (ISMS) operated by [YOUR ORGANISATION] and states where it applies. It satisfies the requirement of Clause 4.3 of ISO/IEC 27001:2022 for the scope to be available as documented information.</w:t>
      </w:r>
    </w:p>
    <w:p>
      <w:pPr>
        <w:pBdr>
          <w:top w:val="single" w:color="D9D9D9" w:sz="2" w:space="4"/>
          <w:bottom w:val="single" w:color="D9D9D9" w:sz="2" w:space="4"/>
          <w:left w:val="single" w:color="F50056" w:sz="18" w:space="8"/>
          <w:right w:val="single" w:color="D9D9D9" w:sz="2" w:space="4"/>
        </w:pBdr>
        <w:shd w:fill="F2F2F2" w:val="clear"/>
        <w:spacing w:after="160" w:before="100"/>
      </w:pPr>
      <w:r>
        <w:rPr>
          <w:rFonts w:ascii="Inter" w:cs="Inter" w:eastAsia="Inter" w:hAnsi="Inter"/>
          <w:b/>
          <w:bCs/>
          <w:i w:val="false"/>
          <w:iCs w:val="false"/>
          <w:color w:val="595959"/>
          <w:sz w:val="17"/>
          <w:szCs w:val="17"/>
        </w:rPr>
        <w:t xml:space="preserve">GUIDANCE  </w:t>
      </w:r>
      <w:r>
        <w:rPr>
          <w:rFonts w:ascii="Inter" w:cs="Inter" w:eastAsia="Inter" w:hAnsi="Inter"/>
          <w:b w:val="false"/>
          <w:bCs w:val="false"/>
          <w:i/>
          <w:iCs/>
          <w:color w:val="404040"/>
          <w:sz w:val="19"/>
          <w:szCs w:val="19"/>
        </w:rPr>
        <w:t xml:space="preserve">The scope statement is the first thing a certification auditor reads and the sentence that will be printed on your certificate. Write it so a customer reading the certificate understands exactly what has been assessed. Vague scopes get challenged by customers; over-broad scopes cost money to implement.</w:t>
      </w:r>
    </w:p>
    <w:p>
      <w:pPr>
        <w:pStyle w:val="Heading2"/>
        <w:spacing w:after="110" w:before="260"/>
      </w:pPr>
      <w:r>
        <w:rPr>
          <w:rFonts w:ascii="Inter" w:cs="Inter" w:eastAsia="Inter" w:hAnsi="Inter"/>
          <w:b/>
          <w:bCs/>
          <w:i w:val="false"/>
          <w:iCs w:val="false"/>
          <w:color w:val="595959"/>
          <w:sz w:val="24"/>
          <w:szCs w:val="24"/>
        </w:rPr>
        <w:t xml:space="preserve">1.1 How to arrive at the scope</w:t>
      </w:r>
    </w:p>
    <w:p>
      <w:pPr>
        <w:spacing w:after="120" w:line="264"/>
      </w:pPr>
      <w:r>
        <w:rPr>
          <w:rFonts w:ascii="Inter" w:cs="Inter" w:eastAsia="Inter" w:hAnsi="Inter"/>
          <w:b w:val="false"/>
          <w:bCs w:val="false"/>
          <w:i w:val="false"/>
          <w:iCs w:val="false"/>
          <w:color w:val="000000"/>
          <w:sz w:val="21"/>
          <w:szCs w:val="21"/>
        </w:rPr>
        <w:t xml:space="preserve">ISO/IEC 27003 recommends reaching the scope in four steps rather than in one meeting. It is worth following, because a scope revised after certification costs considerably more than one revised in week three.</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1444"/>
        <w:gridCol w:w="5596"/>
        <w:gridCol w:w="1986"/>
      </w:tblGrid>
      <w:tr>
        <w:trPr>
          <w:tblHeader/>
        </w:trPr>
        <w:tc>
          <w:tcPr>
            <w:tcW w:type="dxa" w:w="1444"/>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Step</w:t>
            </w:r>
          </w:p>
        </w:tc>
        <w:tc>
          <w:tcPr>
            <w:tcW w:type="dxa" w:w="5596"/>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What happens</w:t>
            </w:r>
          </w:p>
        </w:tc>
        <w:tc>
          <w:tcPr>
            <w:tcW w:type="dxa" w:w="1986"/>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Who</w:t>
            </w:r>
          </w:p>
        </w:tc>
      </w:tr>
      <w:tr>
        <w:tc>
          <w:tcPr>
            <w:tcW w:type="dxa" w:w="144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1. Preliminary scope</w:t>
            </w:r>
          </w:p>
        </w:tc>
        <w:tc>
          <w:tcPr>
            <w:tcW w:type="dxa" w:w="559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 small but representative group of management proposes a first cut.</w:t>
            </w:r>
          </w:p>
        </w:tc>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[Sponsor, ISMS Manager, IT Lead]</w:t>
            </w:r>
          </w:p>
        </w:tc>
      </w:tr>
      <w:tr>
        <w:tc>
          <w:tcPr>
            <w:tcW w:type="dxa" w:w="144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2. Refined scope</w:t>
            </w:r>
          </w:p>
        </w:tc>
        <w:tc>
          <w:tcPr>
            <w:tcW w:type="dxa" w:w="559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Review the functional units just inside and just outside the boundary. Include or exclude to reduce the number of interfaces you will have to control. Check every support function the in-scope activities depend on.</w:t>
            </w:r>
          </w:p>
        </w:tc>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[ISMS Manager with function heads]</w:t>
            </w:r>
          </w:p>
        </w:tc>
      </w:tr>
      <w:tr>
        <w:tc>
          <w:tcPr>
            <w:tcW w:type="dxa" w:w="144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3. Final scope</w:t>
            </w:r>
          </w:p>
        </w:tc>
        <w:tc>
          <w:tcPr>
            <w:tcW w:type="dxa" w:w="559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All management within the refined scope evaluate it, adjust if needed, and it is described precisely.</w:t>
            </w:r>
          </w:p>
        </w:tc>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[All in-scope management]</w:t>
            </w:r>
          </w:p>
        </w:tc>
      </w:tr>
      <w:tr>
        <w:tc>
          <w:tcPr>
            <w:tcW w:type="dxa" w:w="144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4. Approval</w:t>
            </w:r>
          </w:p>
        </w:tc>
        <w:tc>
          <w:tcPr>
            <w:tcW w:type="dxa" w:w="559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Top management formally approves the documented scope.</w:t>
            </w:r>
          </w:p>
        </w:tc>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[Top management]</w:t>
            </w:r>
          </w:p>
        </w:tc>
      </w:tr>
    </w:tbl>
    <w:p>
      <w:pPr>
        <w:pBdr>
          <w:top w:val="single" w:color="D9D9D9" w:sz="2" w:space="4"/>
          <w:bottom w:val="single" w:color="D9D9D9" w:sz="2" w:space="4"/>
          <w:left w:val="single" w:color="F50056" w:sz="18" w:space="8"/>
          <w:right w:val="single" w:color="D9D9D9" w:sz="2" w:space="4"/>
        </w:pBdr>
        <w:shd w:fill="F2F2F2" w:val="clear"/>
        <w:spacing w:after="160" w:before="100"/>
      </w:pPr>
      <w:r>
        <w:rPr>
          <w:rFonts w:ascii="Inter" w:cs="Inter" w:eastAsia="Inter" w:hAnsi="Inter"/>
          <w:b/>
          <w:bCs/>
          <w:i w:val="false"/>
          <w:iCs w:val="false"/>
          <w:color w:val="595959"/>
          <w:sz w:val="17"/>
          <w:szCs w:val="17"/>
        </w:rPr>
        <w:t xml:space="preserve">GUIDANCE  </w:t>
      </w:r>
      <w:r>
        <w:rPr>
          <w:rFonts w:ascii="Inter" w:cs="Inter" w:eastAsia="Inter" w:hAnsi="Inter"/>
          <w:b w:val="false"/>
          <w:bCs w:val="false"/>
          <w:i/>
          <w:iCs/>
          <w:color w:val="404040"/>
          <w:sz w:val="19"/>
          <w:szCs w:val="19"/>
        </w:rPr>
        <w:t xml:space="preserve">The refining step is the one people skip, and it is where the money is. Each interface across the boundary has to be identified and controlled - so pulling a marginal function inside the scope is sometimes cheaper than managing the interface to it.</w:t>
      </w:r>
    </w:p>
    <w:p>
      <w:pPr>
        <w:pStyle w:val="Heading2"/>
        <w:spacing w:after="110" w:before="260"/>
      </w:pPr>
      <w:r>
        <w:rPr>
          <w:rFonts w:ascii="Inter" w:cs="Inter" w:eastAsia="Inter" w:hAnsi="Inter"/>
          <w:b/>
          <w:bCs/>
          <w:i w:val="false"/>
          <w:iCs w:val="false"/>
          <w:color w:val="595959"/>
          <w:sz w:val="24"/>
          <w:szCs w:val="24"/>
        </w:rPr>
        <w:t xml:space="preserve">1.2 Factors that shape the scope</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The external and internal issues in section 3.</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The interested parties and their requirements in section 4.</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How ready each business activity is to be brought inside an ISMS.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Every support function the in-scope activities depend on - HR, IT services and applications, facilities, utilities.</w:t>
      </w:r>
    </w:p>
    <w:p>
      <w:pPr>
        <w:pStyle w:val="ListParagraph"/>
        <w:numPr>
          <w:ilvl w:val="0"/>
          <w:numId w:val="2"/>
        </w:numPr>
        <w:spacing w:after="70" w:line="264"/>
      </w:pPr>
      <w:r>
        <w:rPr>
          <w:rFonts w:ascii="Inter" w:cs="Inter" w:eastAsia="Inter" w:hAnsi="Inter"/>
          <w:b w:val="false"/>
          <w:bCs w:val="false"/>
          <w:i w:val="false"/>
          <w:iCs w:val="false"/>
          <w:color w:val="000000"/>
          <w:sz w:val="21"/>
          <w:szCs w:val="21"/>
        </w:rPr>
        <w:t xml:space="preserve">Every function that is outsourced, whether to another part of the organisation or to an independent supplier.</w:t>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2. Scope statement</w:t>
      </w:r>
    </w:p>
    <w:p>
      <w:pPr>
        <w:spacing w:after="120" w:line="264"/>
      </w:pPr>
      <w:r>
        <w:rPr>
          <w:rFonts w:ascii="Inter" w:cs="Inter" w:eastAsia="Inter" w:hAnsi="Inter"/>
          <w:b w:val="false"/>
          <w:bCs w:val="false"/>
          <w:i w:val="false"/>
          <w:iCs w:val="false"/>
          <w:color w:val="000000"/>
          <w:sz w:val="21"/>
          <w:szCs w:val="21"/>
        </w:rPr>
        <w:t xml:space="preserve">The following statement is the formal scope of the ISMS and is the wording that will appear on the certificate.</w:t>
      </w:r>
    </w:p>
    <w:p>
      <w:pPr>
        <w:pBdr>
          <w:top w:val="single" w:color="D9D9D9" w:sz="2" w:space="4"/>
          <w:bottom w:val="single" w:color="D9D9D9" w:sz="2" w:space="4"/>
          <w:left w:val="single" w:color="D9D9D9" w:sz="2" w:space="4"/>
          <w:right w:val="single" w:color="D9D9D9" w:sz="2" w:space="4"/>
        </w:pBdr>
        <w:shd w:fill="F2F2F2" w:val="clear"/>
        <w:spacing w:after="160" w:before="80"/>
      </w:pPr>
      <w:r>
        <w:rPr>
          <w:rFonts w:ascii="Inter" w:cs="Inter" w:eastAsia="Inter" w:hAnsi="Inter"/>
          <w:b/>
          <w:bCs/>
          <w:i w:val="false"/>
          <w:iCs w:val="false"/>
          <w:color w:val="000000"/>
          <w:sz w:val="21"/>
          <w:szCs w:val="21"/>
        </w:rPr>
        <w:t xml:space="preserve">Scope statement: </w:t>
      </w:r>
      <w:r>
        <w:rPr>
          <w:rFonts w:ascii="Inter" w:cs="Inter" w:eastAsia="Inter" w:hAnsi="Inter"/>
          <w:b w:val="false"/>
          <w:bCs w:val="false"/>
          <w:i/>
          <w:iCs/>
          <w:color w:val="595959"/>
          <w:sz w:val="21"/>
          <w:szCs w:val="21"/>
        </w:rPr>
        <w:t xml:space="preserve">[e.g. "The information security management system supporting the development, delivery and support of the [PRODUCT NAME] software-as-a-service platform, including the associated corporate IT services, operated from [CITY, COUNTRY] and hosted in [CLOUD PROVIDER, REGION]. In accordance with the Statement of Applicability version [X] dated [DATE]."]</w:t>
      </w:r>
    </w:p>
    <w:p>
      <w:pPr>
        <w:pBdr>
          <w:top w:val="single" w:color="D9D9D9" w:sz="2" w:space="4"/>
          <w:bottom w:val="single" w:color="D9D9D9" w:sz="2" w:space="4"/>
          <w:left w:val="single" w:color="F50056" w:sz="18" w:space="8"/>
          <w:right w:val="single" w:color="D9D9D9" w:sz="2" w:space="4"/>
        </w:pBdr>
        <w:shd w:fill="F2F2F2" w:val="clear"/>
        <w:spacing w:after="160" w:before="100"/>
      </w:pPr>
      <w:r>
        <w:rPr>
          <w:rFonts w:ascii="Inter" w:cs="Inter" w:eastAsia="Inter" w:hAnsi="Inter"/>
          <w:b/>
          <w:bCs/>
          <w:i w:val="false"/>
          <w:iCs w:val="false"/>
          <w:color w:val="595959"/>
          <w:sz w:val="17"/>
          <w:szCs w:val="17"/>
        </w:rPr>
        <w:t xml:space="preserve">GUIDANCE  </w:t>
      </w:r>
      <w:r>
        <w:rPr>
          <w:rFonts w:ascii="Inter" w:cs="Inter" w:eastAsia="Inter" w:hAnsi="Inter"/>
          <w:b w:val="false"/>
          <w:bCs w:val="false"/>
          <w:i/>
          <w:iCs/>
          <w:color w:val="404040"/>
          <w:sz w:val="19"/>
          <w:szCs w:val="19"/>
        </w:rPr>
        <w:t xml:space="preserve">Keep it to two or three sentences. Name the service, the entity, the locations and the hosting. Almost all certification bodies require the SoA version reference in the scope statement - check with yours.</w:t>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3. The organisation and its context</w:t>
      </w:r>
    </w:p>
    <w:p>
      <w:pPr>
        <w:pStyle w:val="Heading2"/>
        <w:spacing w:after="110" w:before="260"/>
      </w:pPr>
      <w:r>
        <w:rPr>
          <w:rFonts w:ascii="Inter" w:cs="Inter" w:eastAsia="Inter" w:hAnsi="Inter"/>
          <w:b/>
          <w:bCs/>
          <w:i w:val="false"/>
          <w:iCs w:val="false"/>
          <w:color w:val="595959"/>
          <w:sz w:val="24"/>
          <w:szCs w:val="24"/>
        </w:rPr>
        <w:t xml:space="preserve">3.1 About the organisation</w:t>
      </w:r>
    </w:p>
    <w:p>
      <w:pPr>
        <w:pBdr>
          <w:top w:val="single" w:color="D9D9D9" w:sz="2" w:space="4"/>
          <w:bottom w:val="single" w:color="D9D9D9" w:sz="2" w:space="4"/>
          <w:left w:val="single" w:color="D9D9D9" w:sz="2" w:space="4"/>
          <w:right w:val="single" w:color="D9D9D9" w:sz="2" w:space="4"/>
        </w:pBdr>
        <w:shd w:fill="F2F2F2" w:val="clear"/>
        <w:spacing w:after="160" w:before="80"/>
      </w:pPr>
      <w:r>
        <w:rPr>
          <w:rFonts w:ascii="Inter" w:cs="Inter" w:eastAsia="Inter" w:hAnsi="Inter"/>
          <w:b/>
          <w:bCs/>
          <w:i w:val="false"/>
          <w:iCs w:val="false"/>
          <w:color w:val="000000"/>
          <w:sz w:val="21"/>
          <w:szCs w:val="21"/>
        </w:rPr>
        <w:t xml:space="preserve">Organisation description: </w:t>
      </w:r>
      <w:r>
        <w:rPr>
          <w:rFonts w:ascii="Inter" w:cs="Inter" w:eastAsia="Inter" w:hAnsi="Inter"/>
          <w:b w:val="false"/>
          <w:bCs w:val="false"/>
          <w:i/>
          <w:iCs/>
          <w:color w:val="595959"/>
          <w:sz w:val="21"/>
          <w:szCs w:val="21"/>
        </w:rPr>
        <w:t xml:space="preserve">[Legal entity name, registration number, what the business does, headcount including contractors, ownership structure, group relationships]</w:t>
      </w:r>
    </w:p>
    <w:p>
      <w:pPr>
        <w:pStyle w:val="Heading2"/>
        <w:spacing w:after="110" w:before="260"/>
      </w:pPr>
      <w:r>
        <w:rPr>
          <w:rFonts w:ascii="Inter" w:cs="Inter" w:eastAsia="Inter" w:hAnsi="Inter"/>
          <w:b/>
          <w:bCs/>
          <w:i w:val="false"/>
          <w:iCs w:val="false"/>
          <w:color w:val="595959"/>
          <w:sz w:val="24"/>
          <w:szCs w:val="24"/>
        </w:rPr>
        <w:t xml:space="preserve">3.2 External issues</w:t>
      </w:r>
    </w:p>
    <w:p>
      <w:pPr>
        <w:pBdr>
          <w:top w:val="single" w:color="D9D9D9" w:sz="2" w:space="4"/>
          <w:bottom w:val="single" w:color="D9D9D9" w:sz="2" w:space="4"/>
          <w:left w:val="single" w:color="F50056" w:sz="18" w:space="8"/>
          <w:right w:val="single" w:color="D9D9D9" w:sz="2" w:space="4"/>
        </w:pBdr>
        <w:shd w:fill="F2F2F2" w:val="clear"/>
        <w:spacing w:after="160" w:before="100"/>
      </w:pPr>
      <w:r>
        <w:rPr>
          <w:rFonts w:ascii="Inter" w:cs="Inter" w:eastAsia="Inter" w:hAnsi="Inter"/>
          <w:b/>
          <w:bCs/>
          <w:i w:val="false"/>
          <w:iCs w:val="false"/>
          <w:color w:val="595959"/>
          <w:sz w:val="17"/>
          <w:szCs w:val="17"/>
        </w:rPr>
        <w:t xml:space="preserve">GUIDANCE  </w:t>
      </w:r>
      <w:r>
        <w:rPr>
          <w:rFonts w:ascii="Inter" w:cs="Inter" w:eastAsia="Inter" w:hAnsi="Inter"/>
          <w:b w:val="false"/>
          <w:bCs w:val="false"/>
          <w:i/>
          <w:iCs/>
          <w:color w:val="404040"/>
          <w:sz w:val="19"/>
          <w:szCs w:val="19"/>
        </w:rPr>
        <w:t xml:space="preserve">Clause 4.1. Real issues only. Regulatory change, customer security expectations, threat landscape, supply chain concentration, hiring market, macroeconomic pressure on budget. Three to eight items, each with a sentence on why it matters to information security.</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542"/>
        <w:gridCol w:w="3791"/>
        <w:gridCol w:w="4694"/>
      </w:tblGrid>
      <w:tr>
        <w:trPr>
          <w:tblHeader/>
        </w:trPr>
        <w:tc>
          <w:tcPr>
            <w:tcW w:type="dxa" w:w="542"/>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w:t>
            </w:r>
          </w:p>
        </w:tc>
        <w:tc>
          <w:tcPr>
            <w:tcW w:type="dxa" w:w="3791"/>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External issue</w:t>
            </w:r>
          </w:p>
        </w:tc>
        <w:tc>
          <w:tcPr>
            <w:tcW w:type="dxa" w:w="4694"/>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Why it matters to information security</w:t>
            </w:r>
          </w:p>
        </w:tc>
      </w:tr>
      <w:tr>
        <w:tc>
          <w:tcPr>
            <w:tcW w:type="dxa" w:w="54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1</w:t>
            </w:r>
          </w:p>
        </w:tc>
        <w:tc>
          <w:tcPr>
            <w:tcW w:type="dxa" w:w="379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[e.g. Enterprise customers increasingly require ISO 27001 before contracting]</w:t>
            </w:r>
          </w:p>
        </w:tc>
        <w:tc>
          <w:tcPr>
            <w:tcW w:type="dxa" w:w="469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[Loss of pipeline; contractual exposure]</w:t>
            </w:r>
          </w:p>
        </w:tc>
      </w:tr>
      <w:tr>
        <w:tc>
          <w:tcPr>
            <w:tcW w:type="dxa" w:w="54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2</w:t>
            </w:r>
          </w:p>
        </w:tc>
        <w:tc>
          <w:tcPr>
            <w:tcW w:type="dxa" w:w="379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469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54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3</w:t>
            </w:r>
          </w:p>
        </w:tc>
        <w:tc>
          <w:tcPr>
            <w:tcW w:type="dxa" w:w="379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469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54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4</w:t>
            </w:r>
          </w:p>
        </w:tc>
        <w:tc>
          <w:tcPr>
            <w:tcW w:type="dxa" w:w="379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469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54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5</w:t>
            </w:r>
          </w:p>
        </w:tc>
        <w:tc>
          <w:tcPr>
            <w:tcW w:type="dxa" w:w="379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469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bl>
    <w:p>
      <w:pPr>
        <w:pStyle w:val="Heading2"/>
        <w:spacing w:after="110" w:before="260"/>
      </w:pPr>
      <w:r>
        <w:rPr>
          <w:rFonts w:ascii="Inter" w:cs="Inter" w:eastAsia="Inter" w:hAnsi="Inter"/>
          <w:b/>
          <w:bCs/>
          <w:i w:val="false"/>
          <w:iCs w:val="false"/>
          <w:color w:val="595959"/>
          <w:sz w:val="24"/>
          <w:szCs w:val="24"/>
        </w:rPr>
        <w:t xml:space="preserve">3.3 Internal issues</w:t>
      </w:r>
    </w:p>
    <w:p>
      <w:pPr>
        <w:pBdr>
          <w:top w:val="single" w:color="D9D9D9" w:sz="2" w:space="4"/>
          <w:bottom w:val="single" w:color="D9D9D9" w:sz="2" w:space="4"/>
          <w:left w:val="single" w:color="F50056" w:sz="18" w:space="8"/>
          <w:right w:val="single" w:color="D9D9D9" w:sz="2" w:space="4"/>
        </w:pBdr>
        <w:shd w:fill="F2F2F2" w:val="clear"/>
        <w:spacing w:after="160" w:before="100"/>
      </w:pPr>
      <w:r>
        <w:rPr>
          <w:rFonts w:ascii="Inter" w:cs="Inter" w:eastAsia="Inter" w:hAnsi="Inter"/>
          <w:b/>
          <w:bCs/>
          <w:i w:val="false"/>
          <w:iCs w:val="false"/>
          <w:color w:val="595959"/>
          <w:sz w:val="17"/>
          <w:szCs w:val="17"/>
        </w:rPr>
        <w:t xml:space="preserve">GUIDANCE  </w:t>
      </w:r>
      <w:r>
        <w:rPr>
          <w:rFonts w:ascii="Inter" w:cs="Inter" w:eastAsia="Inter" w:hAnsi="Inter"/>
          <w:b w:val="false"/>
          <w:bCs w:val="false"/>
          <w:i/>
          <w:iCs/>
          <w:color w:val="404040"/>
          <w:sz w:val="19"/>
          <w:szCs w:val="19"/>
        </w:rPr>
        <w:t xml:space="preserve">Clause 4.1. Growth rate, technical debt, distributed working, tooling sprawl, dependence on key individuals, culture, recent incidents, planned acquisitions.</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542"/>
        <w:gridCol w:w="3791"/>
        <w:gridCol w:w="4694"/>
      </w:tblGrid>
      <w:tr>
        <w:trPr>
          <w:tblHeader/>
        </w:trPr>
        <w:tc>
          <w:tcPr>
            <w:tcW w:type="dxa" w:w="542"/>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w:t>
            </w:r>
          </w:p>
        </w:tc>
        <w:tc>
          <w:tcPr>
            <w:tcW w:type="dxa" w:w="3791"/>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Internal issue</w:t>
            </w:r>
          </w:p>
        </w:tc>
        <w:tc>
          <w:tcPr>
            <w:tcW w:type="dxa" w:w="4694"/>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Why it matters to information security</w:t>
            </w:r>
          </w:p>
        </w:tc>
      </w:tr>
      <w:tr>
        <w:tc>
          <w:tcPr>
            <w:tcW w:type="dxa" w:w="54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1</w:t>
            </w:r>
          </w:p>
        </w:tc>
        <w:tc>
          <w:tcPr>
            <w:tcW w:type="dxa" w:w="379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[e.g. Rapid headcount growth with informal onboarding]</w:t>
            </w:r>
          </w:p>
        </w:tc>
        <w:tc>
          <w:tcPr>
            <w:tcW w:type="dxa" w:w="469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[Access granted inconsistently; awareness gaps]</w:t>
            </w:r>
          </w:p>
        </w:tc>
      </w:tr>
      <w:tr>
        <w:tc>
          <w:tcPr>
            <w:tcW w:type="dxa" w:w="54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2</w:t>
            </w:r>
          </w:p>
        </w:tc>
        <w:tc>
          <w:tcPr>
            <w:tcW w:type="dxa" w:w="379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469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54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3</w:t>
            </w:r>
          </w:p>
        </w:tc>
        <w:tc>
          <w:tcPr>
            <w:tcW w:type="dxa" w:w="379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469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54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4</w:t>
            </w:r>
          </w:p>
        </w:tc>
        <w:tc>
          <w:tcPr>
            <w:tcW w:type="dxa" w:w="379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469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542"/>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5</w:t>
            </w:r>
          </w:p>
        </w:tc>
        <w:tc>
          <w:tcPr>
            <w:tcW w:type="dxa" w:w="3791"/>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469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bl>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4. Interested parties and their requirements</w:t>
      </w:r>
    </w:p>
    <w:p>
      <w:pPr>
        <w:pBdr>
          <w:top w:val="single" w:color="D9D9D9" w:sz="2" w:space="4"/>
          <w:bottom w:val="single" w:color="D9D9D9" w:sz="2" w:space="4"/>
          <w:left w:val="single" w:color="F50056" w:sz="18" w:space="8"/>
          <w:right w:val="single" w:color="D9D9D9" w:sz="2" w:space="4"/>
        </w:pBdr>
        <w:shd w:fill="F2F2F2" w:val="clear"/>
        <w:spacing w:after="160" w:before="100"/>
      </w:pPr>
      <w:r>
        <w:rPr>
          <w:rFonts w:ascii="Inter" w:cs="Inter" w:eastAsia="Inter" w:hAnsi="Inter"/>
          <w:b/>
          <w:bCs/>
          <w:i w:val="false"/>
          <w:iCs w:val="false"/>
          <w:color w:val="595959"/>
          <w:sz w:val="17"/>
          <w:szCs w:val="17"/>
        </w:rPr>
        <w:t xml:space="preserve">GUIDANCE  </w:t>
      </w:r>
      <w:r>
        <w:rPr>
          <w:rFonts w:ascii="Inter" w:cs="Inter" w:eastAsia="Inter" w:hAnsi="Inter"/>
          <w:b w:val="false"/>
          <w:bCs w:val="false"/>
          <w:i/>
          <w:iCs/>
          <w:color w:val="404040"/>
          <w:sz w:val="19"/>
          <w:szCs w:val="19"/>
        </w:rPr>
        <w:t xml:space="preserve">Clause 4.2. Summarise here and maintain the full register on the "06 Interested Parties" tab of the workbook.</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2347"/>
        <w:gridCol w:w="5055"/>
        <w:gridCol w:w="1625"/>
      </w:tblGrid>
      <w:tr>
        <w:trPr>
          <w:tblHeader/>
        </w:trPr>
        <w:tc>
          <w:tcPr>
            <w:tcW w:type="dxa" w:w="2347"/>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Interested party</w:t>
            </w:r>
          </w:p>
        </w:tc>
        <w:tc>
          <w:tcPr>
            <w:tcW w:type="dxa" w:w="505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Key requirements</w:t>
            </w:r>
          </w:p>
        </w:tc>
        <w:tc>
          <w:tcPr>
            <w:tcW w:type="dxa" w:w="162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Addressed by the ISMS?</w:t>
            </w:r>
          </w:p>
        </w:tc>
      </w:tr>
      <w:tr>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[Customers]</w:t>
            </w:r>
          </w:p>
        </w:tc>
        <w:tc>
          <w:tcPr>
            <w:tcW w:type="dxa" w:w="505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[Certification; questionnaire turnaround; breach notification within X hours]</w:t>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[Yes]</w:t>
            </w:r>
          </w:p>
        </w:tc>
      </w:tr>
      <w:tr>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[Regulators]</w:t>
            </w:r>
          </w:p>
        </w:tc>
        <w:tc>
          <w:tcPr>
            <w:tcW w:type="dxa" w:w="505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[Employees]</w:t>
            </w:r>
          </w:p>
        </w:tc>
        <w:tc>
          <w:tcPr>
            <w:tcW w:type="dxa" w:w="505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[Shareholders / board]</w:t>
            </w:r>
          </w:p>
        </w:tc>
        <w:tc>
          <w:tcPr>
            <w:tcW w:type="dxa" w:w="505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[Suppliers and partners]</w:t>
            </w:r>
          </w:p>
        </w:tc>
        <w:tc>
          <w:tcPr>
            <w:tcW w:type="dxa" w:w="505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bl>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5. Boundaries</w:t>
      </w:r>
    </w:p>
    <w:p>
      <w:pPr>
        <w:pStyle w:val="Heading2"/>
        <w:spacing w:after="110" w:before="260"/>
      </w:pPr>
      <w:r>
        <w:rPr>
          <w:rFonts w:ascii="Inter" w:cs="Inter" w:eastAsia="Inter" w:hAnsi="Inter"/>
          <w:b/>
          <w:bCs/>
          <w:i w:val="false"/>
          <w:iCs w:val="false"/>
          <w:color w:val="595959"/>
          <w:sz w:val="24"/>
          <w:szCs w:val="24"/>
        </w:rPr>
        <w:t xml:space="preserve">5.1 Organisational boundaries</w:t>
      </w:r>
    </w:p>
    <w:p>
      <w:pPr>
        <w:pBdr>
          <w:top w:val="single" w:color="D9D9D9" w:sz="2" w:space="4"/>
          <w:bottom w:val="single" w:color="D9D9D9" w:sz="2" w:space="4"/>
          <w:left w:val="single" w:color="D9D9D9" w:sz="2" w:space="4"/>
          <w:right w:val="single" w:color="D9D9D9" w:sz="2" w:space="4"/>
        </w:pBdr>
        <w:shd w:fill="F2F2F2" w:val="clear"/>
        <w:spacing w:after="160" w:before="80"/>
      </w:pPr>
      <w:r>
        <w:rPr>
          <w:rFonts w:ascii="Inter" w:cs="Inter" w:eastAsia="Inter" w:hAnsi="Inter"/>
          <w:b/>
          <w:bCs/>
          <w:i w:val="false"/>
          <w:iCs w:val="false"/>
          <w:color w:val="000000"/>
          <w:sz w:val="21"/>
          <w:szCs w:val="21"/>
        </w:rPr>
        <w:t xml:space="preserve">Legal entities, business units and functions in scope: </w:t>
      </w:r>
      <w:r>
        <w:rPr>
          <w:rFonts w:ascii="Inter" w:cs="Inter" w:eastAsia="Inter" w:hAnsi="Inter"/>
          <w:b w:val="false"/>
          <w:bCs w:val="false"/>
          <w:i/>
          <w:iCs/>
          <w:color w:val="595959"/>
          <w:sz w:val="21"/>
          <w:szCs w:val="21"/>
        </w:rPr>
        <w:t xml:space="preserve">[List each. State explicitly which entities and functions are OUT of scope.]</w:t>
      </w:r>
    </w:p>
    <w:p>
      <w:pPr>
        <w:pStyle w:val="Heading2"/>
        <w:spacing w:after="110" w:before="260"/>
      </w:pPr>
      <w:r>
        <w:rPr>
          <w:rFonts w:ascii="Inter" w:cs="Inter" w:eastAsia="Inter" w:hAnsi="Inter"/>
          <w:b/>
          <w:bCs/>
          <w:i w:val="false"/>
          <w:iCs w:val="false"/>
          <w:color w:val="595959"/>
          <w:sz w:val="24"/>
          <w:szCs w:val="24"/>
        </w:rPr>
        <w:t xml:space="preserve">5.2 Physical boundaries</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1625"/>
        <w:gridCol w:w="2166"/>
        <w:gridCol w:w="1986"/>
        <w:gridCol w:w="1083"/>
        <w:gridCol w:w="2166"/>
      </w:tblGrid>
      <w:tr>
        <w:trPr>
          <w:tblHeader/>
        </w:trPr>
        <w:tc>
          <w:tcPr>
            <w:tcW w:type="dxa" w:w="162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Location</w:t>
            </w:r>
          </w:p>
        </w:tc>
        <w:tc>
          <w:tcPr>
            <w:tcW w:type="dxa" w:w="2166"/>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Address</w:t>
            </w:r>
          </w:p>
        </w:tc>
        <w:tc>
          <w:tcPr>
            <w:tcW w:type="dxa" w:w="1986"/>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Purpose</w:t>
            </w:r>
          </w:p>
        </w:tc>
        <w:tc>
          <w:tcPr>
            <w:tcW w:type="dxa" w:w="108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In scope?</w:t>
            </w:r>
          </w:p>
        </w:tc>
        <w:tc>
          <w:tcPr>
            <w:tcW w:type="dxa" w:w="2166"/>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If out of scope, why</w:t>
            </w:r>
          </w:p>
        </w:tc>
      </w:tr>
      <w:tr>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[HQ]</w:t>
            </w:r>
          </w:p>
        </w:tc>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[Yes]</w:t>
            </w:r>
          </w:p>
        </w:tc>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[Office 2]</w:t>
            </w:r>
          </w:p>
        </w:tc>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[Data centre / cloud region]</w:t>
            </w:r>
          </w:p>
        </w:tc>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[Home working]</w:t>
            </w:r>
          </w:p>
        </w:tc>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N/A - distributed</w:t>
            </w:r>
          </w:p>
        </w:tc>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bl>
    <w:p>
      <w:pPr>
        <w:pStyle w:val="Heading2"/>
        <w:spacing w:after="110" w:before="260"/>
      </w:pPr>
      <w:r>
        <w:rPr>
          <w:rFonts w:ascii="Inter" w:cs="Inter" w:eastAsia="Inter" w:hAnsi="Inter"/>
          <w:b/>
          <w:bCs/>
          <w:i w:val="false"/>
          <w:iCs w:val="false"/>
          <w:color w:val="595959"/>
          <w:sz w:val="24"/>
          <w:szCs w:val="24"/>
        </w:rPr>
        <w:t xml:space="preserve">5.3 Technology boundaries</w:t>
      </w:r>
    </w:p>
    <w:p>
      <w:pPr>
        <w:pBdr>
          <w:top w:val="single" w:color="D9D9D9" w:sz="2" w:space="4"/>
          <w:bottom w:val="single" w:color="D9D9D9" w:sz="2" w:space="4"/>
          <w:left w:val="single" w:color="D9D9D9" w:sz="2" w:space="4"/>
          <w:right w:val="single" w:color="D9D9D9" w:sz="2" w:space="4"/>
        </w:pBdr>
        <w:shd w:fill="F2F2F2" w:val="clear"/>
        <w:spacing w:after="160" w:before="80"/>
      </w:pPr>
      <w:r>
        <w:rPr>
          <w:rFonts w:ascii="Inter" w:cs="Inter" w:eastAsia="Inter" w:hAnsi="Inter"/>
          <w:b/>
          <w:bCs/>
          <w:i w:val="false"/>
          <w:iCs w:val="false"/>
          <w:color w:val="000000"/>
          <w:sz w:val="21"/>
          <w:szCs w:val="21"/>
        </w:rPr>
        <w:t xml:space="preserve">Systems, networks, applications and cloud services in scope: </w:t>
      </w:r>
      <w:r>
        <w:rPr>
          <w:rFonts w:ascii="Inter" w:cs="Inter" w:eastAsia="Inter" w:hAnsi="Inter"/>
          <w:b w:val="false"/>
          <w:bCs w:val="false"/>
          <w:i/>
          <w:iCs/>
          <w:color w:val="595959"/>
          <w:sz w:val="21"/>
          <w:szCs w:val="21"/>
        </w:rPr>
        <w:t xml:space="preserve">[Reference the asset inventory rather than duplicating it, but name the major systems here.]</w:t>
      </w:r>
    </w:p>
    <w:p>
      <w:pPr>
        <w:pStyle w:val="Heading2"/>
        <w:spacing w:after="110" w:before="260"/>
      </w:pPr>
      <w:r>
        <w:rPr>
          <w:rFonts w:ascii="Inter" w:cs="Inter" w:eastAsia="Inter" w:hAnsi="Inter"/>
          <w:b/>
          <w:bCs/>
          <w:i w:val="false"/>
          <w:iCs w:val="false"/>
          <w:color w:val="595959"/>
          <w:sz w:val="24"/>
          <w:szCs w:val="24"/>
        </w:rPr>
        <w:t xml:space="preserve">5.4 Information in scope</w:t>
      </w:r>
    </w:p>
    <w:p>
      <w:pPr>
        <w:pBdr>
          <w:top w:val="single" w:color="D9D9D9" w:sz="2" w:space="4"/>
          <w:bottom w:val="single" w:color="D9D9D9" w:sz="2" w:space="4"/>
          <w:left w:val="single" w:color="D9D9D9" w:sz="2" w:space="4"/>
          <w:right w:val="single" w:color="D9D9D9" w:sz="2" w:space="4"/>
        </w:pBdr>
        <w:shd w:fill="F2F2F2" w:val="clear"/>
        <w:spacing w:after="160" w:before="80"/>
      </w:pPr>
      <w:r>
        <w:rPr>
          <w:rFonts w:ascii="Inter" w:cs="Inter" w:eastAsia="Inter" w:hAnsi="Inter"/>
          <w:b/>
          <w:bCs/>
          <w:i w:val="false"/>
          <w:iCs w:val="false"/>
          <w:color w:val="000000"/>
          <w:sz w:val="21"/>
          <w:szCs w:val="21"/>
        </w:rPr>
        <w:t xml:space="preserve">Types of information covered: </w:t>
      </w:r>
      <w:r>
        <w:rPr>
          <w:rFonts w:ascii="Inter" w:cs="Inter" w:eastAsia="Inter" w:hAnsi="Inter"/>
          <w:b w:val="false"/>
          <w:bCs w:val="false"/>
          <w:i/>
          <w:iCs/>
          <w:color w:val="595959"/>
          <w:sz w:val="21"/>
          <w:szCs w:val="21"/>
        </w:rPr>
        <w:t xml:space="preserve">[e.g. customer data including personal data, source code, commercial and contractual information, employee data]</w:t>
      </w:r>
    </w:p>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6. Exclusions and their justification</w:t>
      </w:r>
    </w:p>
    <w:p>
      <w:pPr>
        <w:pBdr>
          <w:top w:val="single" w:color="D9D9D9" w:sz="2" w:space="4"/>
          <w:bottom w:val="single" w:color="D9D9D9" w:sz="2" w:space="4"/>
          <w:left w:val="single" w:color="F50056" w:sz="18" w:space="8"/>
          <w:right w:val="single" w:color="D9D9D9" w:sz="2" w:space="4"/>
        </w:pBdr>
        <w:shd w:fill="F2F2F2" w:val="clear"/>
        <w:spacing w:after="160" w:before="100"/>
      </w:pPr>
      <w:r>
        <w:rPr>
          <w:rFonts w:ascii="Inter" w:cs="Inter" w:eastAsia="Inter" w:hAnsi="Inter"/>
          <w:b/>
          <w:bCs/>
          <w:i w:val="false"/>
          <w:iCs w:val="false"/>
          <w:color w:val="595959"/>
          <w:sz w:val="17"/>
          <w:szCs w:val="17"/>
        </w:rPr>
        <w:t xml:space="preserve">GUIDANCE  </w:t>
      </w:r>
      <w:r>
        <w:rPr>
          <w:rFonts w:ascii="Inter" w:cs="Inter" w:eastAsia="Inter" w:hAnsi="Inter"/>
          <w:b w:val="false"/>
          <w:bCs w:val="false"/>
          <w:i/>
          <w:iCs/>
          <w:color w:val="404040"/>
          <w:sz w:val="19"/>
          <w:szCs w:val="19"/>
        </w:rPr>
        <w:t xml:space="preserve">Every exclusion must be justified by a fact about the business, not by a shortage of resources. Anything excluded must not be able to affect the ISMS outcomes for what is in scope - and if it can, describe the interface controls in section 7.</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2166"/>
        <w:gridCol w:w="1264"/>
        <w:gridCol w:w="2979"/>
        <w:gridCol w:w="2618"/>
      </w:tblGrid>
      <w:tr>
        <w:trPr>
          <w:tblHeader/>
        </w:trPr>
        <w:tc>
          <w:tcPr>
            <w:tcW w:type="dxa" w:w="2166"/>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Excluded item</w:t>
            </w:r>
          </w:p>
        </w:tc>
        <w:tc>
          <w:tcPr>
            <w:tcW w:type="dxa" w:w="1264"/>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Type</w:t>
            </w:r>
          </w:p>
        </w:tc>
        <w:tc>
          <w:tcPr>
            <w:tcW w:type="dxa" w:w="2979"/>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Justification for exclusion</w:t>
            </w:r>
          </w:p>
        </w:tc>
        <w:tc>
          <w:tcPr>
            <w:tcW w:type="dxa" w:w="2618"/>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How the interface is controlled</w:t>
            </w:r>
          </w:p>
        </w:tc>
      </w:tr>
      <w:tr>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[e.g. Legacy on-premise ERP at the Warsaw office]</w:t>
            </w:r>
          </w:p>
        </w:tc>
        <w:tc>
          <w:tcPr>
            <w:tcW w:type="dxa" w:w="126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[Location / system]</w:t>
            </w:r>
          </w:p>
        </w:tc>
        <w:tc>
          <w:tcPr>
            <w:tcW w:type="dxa" w:w="297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[Operated by a separate legal entity; no customer data; no network connectivity to in-scope systems]</w:t>
            </w:r>
          </w:p>
        </w:tc>
        <w:tc>
          <w:tcPr>
            <w:tcW w:type="dxa" w:w="26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[No connectivity. Verified by network segmentation, evidenced in the annual firewall review.]</w:t>
            </w:r>
          </w:p>
        </w:tc>
      </w:tr>
      <w:tr>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26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97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6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216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26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97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61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bl>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7. The ISMS as a set of processes</w:t>
      </w:r>
    </w:p>
    <w:p>
      <w:pPr>
        <w:spacing w:after="120" w:line="264"/>
      </w:pPr>
      <w:r>
        <w:rPr>
          <w:rFonts w:ascii="Inter" w:cs="Inter" w:eastAsia="Inter" w:hAnsi="Inter"/>
          <w:b w:val="false"/>
          <w:bCs w:val="false"/>
          <w:i w:val="false"/>
          <w:iCs w:val="false"/>
          <w:color w:val="000000"/>
          <w:sz w:val="21"/>
          <w:szCs w:val="21"/>
        </w:rPr>
        <w:t xml:space="preserve">Clause 4.4 requires the ISMS to be established and maintained including the processes it needs and their interactions. The processes below make up the ISMS, and the interactions between them are what makes it a system rather than a folder of documents.</w:t>
      </w:r>
    </w:p>
    <w:p>
      <w:pPr>
        <w:pBdr>
          <w:top w:val="single" w:color="D9D9D9" w:sz="2" w:space="4"/>
          <w:bottom w:val="single" w:color="D9D9D9" w:sz="2" w:space="4"/>
          <w:left w:val="single" w:color="F50056" w:sz="18" w:space="8"/>
          <w:right w:val="single" w:color="D9D9D9" w:sz="2" w:space="4"/>
        </w:pBdr>
        <w:shd w:fill="F2F2F2" w:val="clear"/>
        <w:spacing w:after="160" w:before="100"/>
      </w:pPr>
      <w:r>
        <w:rPr>
          <w:rFonts w:ascii="Inter" w:cs="Inter" w:eastAsia="Inter" w:hAnsi="Inter"/>
          <w:b/>
          <w:bCs/>
          <w:i w:val="false"/>
          <w:iCs w:val="false"/>
          <w:color w:val="595959"/>
          <w:sz w:val="17"/>
          <w:szCs w:val="17"/>
        </w:rPr>
        <w:t xml:space="preserve">GUIDANCE  </w:t>
      </w:r>
      <w:r>
        <w:rPr>
          <w:rFonts w:ascii="Inter" w:cs="Inter" w:eastAsia="Inter" w:hAnsi="Inter"/>
          <w:b w:val="false"/>
          <w:bCs w:val="false"/>
          <w:i/>
          <w:iCs/>
          <w:color w:val="404040"/>
          <w:sz w:val="19"/>
          <w:szCs w:val="19"/>
        </w:rPr>
        <w:t xml:space="preserve">Do not skip this because it looks like paperwork. When an auditor asks "how does an incident end up changing your risk register", they are testing process interaction. Filling in the last column now means someone can answer that question in twelve months.</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2708"/>
        <w:gridCol w:w="1173"/>
        <w:gridCol w:w="1715"/>
        <w:gridCol w:w="1715"/>
        <w:gridCol w:w="1715"/>
      </w:tblGrid>
      <w:tr>
        <w:trPr>
          <w:tblHeader/>
        </w:trPr>
        <w:tc>
          <w:tcPr>
            <w:tcW w:type="dxa" w:w="2708"/>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ISMS process</w:t>
            </w:r>
          </w:p>
        </w:tc>
        <w:tc>
          <w:tcPr>
            <w:tcW w:type="dxa" w:w="117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Owner</w:t>
            </w:r>
          </w:p>
        </w:tc>
        <w:tc>
          <w:tcPr>
            <w:tcW w:type="dxa" w:w="171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Key inputs</w:t>
            </w:r>
          </w:p>
        </w:tc>
        <w:tc>
          <w:tcPr>
            <w:tcW w:type="dxa" w:w="171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Key outputs</w:t>
            </w:r>
          </w:p>
        </w:tc>
        <w:tc>
          <w:tcPr>
            <w:tcW w:type="dxa" w:w="171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Feeds into which other process</w:t>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Requirements management (4.2, A.5.31)</w:t>
            </w:r>
          </w:p>
        </w:tc>
        <w:tc>
          <w:tcPr>
            <w:tcW w:type="dxa" w:w="117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71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71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71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Risk management (6.1, 8.2, 8.3)</w:t>
            </w:r>
          </w:p>
        </w:tc>
        <w:tc>
          <w:tcPr>
            <w:tcW w:type="dxa" w:w="117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71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71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71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Document and record management (7.5)</w:t>
            </w:r>
          </w:p>
        </w:tc>
        <w:tc>
          <w:tcPr>
            <w:tcW w:type="dxa" w:w="117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71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71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71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Competence and awareness (7.2, 7.3)</w:t>
            </w:r>
          </w:p>
        </w:tc>
        <w:tc>
          <w:tcPr>
            <w:tcW w:type="dxa" w:w="117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71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71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71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Communication (7.4)</w:t>
            </w:r>
          </w:p>
        </w:tc>
        <w:tc>
          <w:tcPr>
            <w:tcW w:type="dxa" w:w="117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71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71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71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Control operation (8.1)</w:t>
            </w:r>
          </w:p>
        </w:tc>
        <w:tc>
          <w:tcPr>
            <w:tcW w:type="dxa" w:w="117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71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71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71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Incident management (A.5.24-A.5.28)</w:t>
            </w:r>
          </w:p>
        </w:tc>
        <w:tc>
          <w:tcPr>
            <w:tcW w:type="dxa" w:w="117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71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71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71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Supplier management (A.5.19-A.5.22)</w:t>
            </w:r>
          </w:p>
        </w:tc>
        <w:tc>
          <w:tcPr>
            <w:tcW w:type="dxa" w:w="117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71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71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71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Monitoring and measurement (9.1)</w:t>
            </w:r>
          </w:p>
        </w:tc>
        <w:tc>
          <w:tcPr>
            <w:tcW w:type="dxa" w:w="117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71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71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71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Internal audit (9.2)</w:t>
            </w:r>
          </w:p>
        </w:tc>
        <w:tc>
          <w:tcPr>
            <w:tcW w:type="dxa" w:w="117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71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71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71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Management review (9.3)</w:t>
            </w:r>
          </w:p>
        </w:tc>
        <w:tc>
          <w:tcPr>
            <w:tcW w:type="dxa" w:w="117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71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71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71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270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Improvement and corrective action (10)</w:t>
            </w:r>
          </w:p>
        </w:tc>
        <w:tc>
          <w:tcPr>
            <w:tcW w:type="dxa" w:w="117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71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71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71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bl>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8. Interfaces and dependencies</w:t>
      </w:r>
    </w:p>
    <w:p>
      <w:pPr>
        <w:spacing w:after="120" w:line="264"/>
      </w:pPr>
      <w:r>
        <w:rPr>
          <w:rFonts w:ascii="Inter" w:cs="Inter" w:eastAsia="Inter" w:hAnsi="Inter"/>
          <w:b w:val="false"/>
          <w:bCs w:val="false"/>
          <w:i w:val="false"/>
          <w:iCs w:val="false"/>
          <w:color w:val="000000"/>
          <w:sz w:val="21"/>
          <w:szCs w:val="21"/>
        </w:rPr>
        <w:t xml:space="preserve">The following activities are performed by parties outside the ISMS scope but affect information within it. Each is controlled as described.</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2347"/>
        <w:gridCol w:w="1444"/>
        <w:gridCol w:w="2347"/>
        <w:gridCol w:w="2888"/>
      </w:tblGrid>
      <w:tr>
        <w:trPr>
          <w:tblHeader/>
        </w:trPr>
        <w:tc>
          <w:tcPr>
            <w:tcW w:type="dxa" w:w="2347"/>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Interface or dependency</w:t>
            </w:r>
          </w:p>
        </w:tc>
        <w:tc>
          <w:tcPr>
            <w:tcW w:type="dxa" w:w="1444"/>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Party</w:t>
            </w:r>
          </w:p>
        </w:tc>
        <w:tc>
          <w:tcPr>
            <w:tcW w:type="dxa" w:w="2347"/>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What they do</w:t>
            </w:r>
          </w:p>
        </w:tc>
        <w:tc>
          <w:tcPr>
            <w:tcW w:type="dxa" w:w="2888"/>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How it is controlled</w:t>
            </w:r>
          </w:p>
        </w:tc>
      </w:tr>
      <w:tr>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[e.g. Cloud infrastructure]</w:t>
            </w:r>
          </w:p>
        </w:tc>
        <w:tc>
          <w:tcPr>
            <w:tcW w:type="dxa" w:w="144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[Provider]</w:t>
            </w:r>
          </w:p>
        </w:tc>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[Hosting, physical security, hypervisor]</w:t>
            </w:r>
          </w:p>
        </w:tc>
        <w:tc>
          <w:tcPr>
            <w:tcW w:type="dxa" w:w="288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[Shared responsibility matrix; annual review of their certification; contractual security schedule]</w:t>
            </w:r>
          </w:p>
        </w:tc>
      </w:tr>
      <w:tr>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[e.g. Payroll]</w:t>
            </w:r>
          </w:p>
        </w:tc>
        <w:tc>
          <w:tcPr>
            <w:tcW w:type="dxa" w:w="144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88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[e.g. Outsourced IT support]</w:t>
            </w:r>
          </w:p>
        </w:tc>
        <w:tc>
          <w:tcPr>
            <w:tcW w:type="dxa" w:w="144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88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[e.g. Parent company IT]</w:t>
            </w:r>
          </w:p>
        </w:tc>
        <w:tc>
          <w:tcPr>
            <w:tcW w:type="dxa" w:w="144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2888"/>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bl>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9. Approval</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3069"/>
        <w:gridCol w:w="2347"/>
        <w:gridCol w:w="1986"/>
        <w:gridCol w:w="1625"/>
      </w:tblGrid>
      <w:tr>
        <w:trPr>
          <w:tblHeader/>
        </w:trPr>
        <w:tc>
          <w:tcPr>
            <w:tcW w:type="dxa" w:w="3069"/>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Role</w:t>
            </w:r>
          </w:p>
        </w:tc>
        <w:tc>
          <w:tcPr>
            <w:tcW w:type="dxa" w:w="2347"/>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Name</w:t>
            </w:r>
          </w:p>
        </w:tc>
        <w:tc>
          <w:tcPr>
            <w:tcW w:type="dxa" w:w="1986"/>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Signature</w:t>
            </w:r>
          </w:p>
        </w:tc>
        <w:tc>
          <w:tcPr>
            <w:tcW w:type="dxa" w:w="162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Date</w:t>
            </w:r>
          </w:p>
        </w:tc>
      </w:tr>
      <w:tr>
        <w:tc>
          <w:tcPr>
            <w:tcW w:type="dxa" w:w="306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Prepared by</w:t>
            </w:r>
          </w:p>
        </w:tc>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306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Reviewed by (ISMS Manager)</w:t>
            </w:r>
          </w:p>
        </w:tc>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306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Approved by (Top management)</w:t>
            </w:r>
          </w:p>
        </w:tc>
        <w:tc>
          <w:tcPr>
            <w:tcW w:type="dxa" w:w="2347"/>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986"/>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bl>
    <w:p>
      <w:pPr>
        <w:pStyle w:val="Heading1"/>
        <w:pBdr>
          <w:bottom w:val="single" w:color="D9D9D9" w:sz="8" w:space="4"/>
        </w:pBdr>
        <w:spacing w:after="160" w:before="320"/>
      </w:pPr>
      <w:r>
        <w:rPr>
          <w:rFonts w:ascii="Inter" w:cs="Inter" w:eastAsia="Inter" w:hAnsi="Inter"/>
          <w:b/>
          <w:bCs/>
          <w:i w:val="false"/>
          <w:iCs w:val="false"/>
          <w:color w:val="1A1A1A"/>
          <w:sz w:val="28"/>
          <w:szCs w:val="28"/>
        </w:rPr>
        <w:t xml:space="preserve">10. Review</w:t>
      </w:r>
    </w:p>
    <w:p>
      <w:pPr>
        <w:spacing w:after="120" w:line="264"/>
      </w:pPr>
      <w:r>
        <w:rPr>
          <w:rFonts w:ascii="Inter" w:cs="Inter" w:eastAsia="Inter" w:hAnsi="Inter"/>
          <w:b w:val="false"/>
          <w:bCs w:val="false"/>
          <w:i w:val="false"/>
          <w:iCs w:val="false"/>
          <w:color w:val="000000"/>
          <w:sz w:val="21"/>
          <w:szCs w:val="21"/>
        </w:rPr>
        <w:t xml:space="preserve">This document is reviewed at least annually and whenever there is a significant change to the organisation, its locations, its services, its technology or its obligations. Changes to scope after certification must be notified to the certification body.</w:t>
      </w:r>
    </w:p>
    <w:p>
      <w:pPr>
        <w:pStyle w:val="Heading2"/>
        <w:spacing w:after="110" w:before="260"/>
      </w:pPr>
      <w:r>
        <w:rPr>
          <w:rFonts w:ascii="Inter" w:cs="Inter" w:eastAsia="Inter" w:hAnsi="Inter"/>
          <w:b/>
          <w:bCs/>
          <w:i w:val="false"/>
          <w:iCs w:val="false"/>
          <w:color w:val="595959"/>
          <w:sz w:val="24"/>
          <w:szCs w:val="24"/>
        </w:rPr>
        <w:t xml:space="preserve">Revision history</w:t>
      </w:r>
    </w:p>
    <w:tbl>
      <w:tblPr>
        <w:tblW w:type="dxa" w:w="9026"/>
        <w:tblBorders>
          <w:top w:val="single" w:color="BFBFBF" w:sz="2"/>
          <w:left w:val="single" w:color="BFBFBF" w:sz="2"/>
          <w:bottom w:val="single" w:color="BFBFBF" w:sz="2"/>
          <w:right w:val="single" w:color="BFBFBF" w:sz="2"/>
          <w:insideH w:val="single" w:color="D9D9D9" w:sz="2"/>
          <w:insideV w:val="single" w:color="D9D9D9" w:sz="2"/>
        </w:tblBorders>
      </w:tblPr>
      <w:tblGrid>
        <w:gridCol w:w="1083"/>
        <w:gridCol w:w="1354"/>
        <w:gridCol w:w="1805"/>
        <w:gridCol w:w="3159"/>
        <w:gridCol w:w="1625"/>
      </w:tblGrid>
      <w:tr>
        <w:trPr>
          <w:tblHeader/>
        </w:trPr>
        <w:tc>
          <w:tcPr>
            <w:tcW w:type="dxa" w:w="1083"/>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Version</w:t>
            </w:r>
          </w:p>
        </w:tc>
        <w:tc>
          <w:tcPr>
            <w:tcW w:type="dxa" w:w="1354"/>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Date</w:t>
            </w:r>
          </w:p>
        </w:tc>
        <w:tc>
          <w:tcPr>
            <w:tcW w:type="dxa" w:w="180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Author</w:t>
            </w:r>
          </w:p>
        </w:tc>
        <w:tc>
          <w:tcPr>
            <w:tcW w:type="dxa" w:w="3159"/>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Summary of change</w:t>
            </w:r>
          </w:p>
        </w:tc>
        <w:tc>
          <w:tcPr>
            <w:tcW w:type="dxa" w:w="1625"/>
            <w:shd w:fill="F2F2F2" w:val="clear"/>
            <w:tcMar>
              <w:top w:type="dxa" w:w="60"/>
              <w:left w:type="dxa" w:w="90"/>
              <w:bottom w:type="dxa" w:w="60"/>
              <w:right w:type="dxa" w:w="90"/>
            </w:tcMar>
            <w:vAlign w:val="top"/>
          </w:tcPr>
          <w:p>
            <w:pPr>
              <w:spacing w:after="40" w:before="40"/>
            </w:pPr>
            <w:r>
              <w:rPr>
                <w:rFonts w:ascii="Inter" w:cs="Inter" w:eastAsia="Inter" w:hAnsi="Inter"/>
                <w:b/>
                <w:bCs/>
                <w:i w:val="false"/>
                <w:iCs w:val="false"/>
                <w:color w:val="1A1A1A"/>
                <w:sz w:val="18"/>
                <w:szCs w:val="18"/>
              </w:rPr>
              <w:t xml:space="preserve">Approved by</w:t>
            </w:r>
          </w:p>
        </w:tc>
      </w:tr>
      <w:tr>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0.1</w:t>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[DATE]</w:t>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[AUTHOR]</w:t>
            </w:r>
          </w:p>
        </w:tc>
        <w:tc>
          <w:tcPr>
            <w:tcW w:type="dxa" w:w="315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Initial draft</w:t>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w:t>
            </w:r>
          </w:p>
        </w:tc>
      </w:tr>
      <w:tr>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315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r>
        <w:tc>
          <w:tcPr>
            <w:tcW w:type="dxa" w:w="1083"/>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354"/>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80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3159"/>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c>
          <w:tcPr>
            <w:tcW w:type="dxa" w:w="1625"/>
            <w:tcMar>
              <w:top w:type="dxa" w:w="60"/>
              <w:left w:type="dxa" w:w="90"/>
              <w:bottom w:type="dxa" w:w="60"/>
              <w:right w:type="dxa" w:w="90"/>
            </w:tcMar>
            <w:vAlign w:val="top"/>
          </w:tcPr>
          <w:p>
            <w:pPr>
              <w:spacing w:after="40" w:before="40"/>
            </w:pPr>
            <w:r>
              <w:rPr>
                <w:rFonts w:ascii="Inter" w:cs="Inter" w:eastAsia="Inter" w:hAnsi="Inter"/>
                <w:b w:val="false"/>
                <w:bCs w:val="false"/>
                <w:i w:val="false"/>
                <w:iCs w:val="false"/>
                <w:color w:val="000000"/>
                <w:sz w:val="19"/>
                <w:szCs w:val="19"/>
              </w:rPr>
              <w:t xml:space="preserve"/>
            </w:r>
          </w:p>
        </w:tc>
      </w:tr>
    </w:tbl>
    <w:sectPr>
      <w:headerReference w:type="default" r:id="rId7"/>
      <w:footerReference w:type="default" r:id="rId8"/>
      <w:headerReference w:type="first" r:id="rId10"/>
      <w:footerReference w:type="first" r:id="rId11"/>
      <w:headerReference w:type="even" r:id="rId12"/>
      <w:footerReference w:type="even" r:id="rId13"/>
      <w:pgSz w:w="11906" w:h="16838" w:orient="portrait"/>
      <w:pgMar w:top="1134" w:right="1440" w:bottom="1134"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right"/>
    </w:pPr>
    <w:r>
      <w:rPr>
        <w:rFonts w:ascii="Inter" w:cs="Inter" w:eastAsia="Inter" w:hAnsi="Inter"/>
        <w:b w:val="false"/>
        <w:bCs w:val="false"/>
        <w:i w:val="false"/>
        <w:iCs w:val="false"/>
        <w:color w:val="808080"/>
        <w:sz w:val="16"/>
        <w:szCs w:val="16"/>
      </w:rPr>
      <w:t xml:space="preserve">ISO/IEC 27001:2022 Implementation Kit  ·  sameerkhairkar.com        Page </w:t>
    </w:r>
    <w:r>
      <w:rPr>
        <w:rFonts w:ascii="Inter" w:cs="Inter" w:eastAsia="Inter" w:hAnsi="Inter"/>
        <w:color w:val="808080"/>
        <w:sz w:val="16"/>
        <w:szCs w:val="16"/>
      </w:rPr>
      <w:fldChar w:fldCharType="begin"/>
      <w:instrText xml:space="preserve">PAGE</w:instrText>
      <w:fldChar w:fldCharType="separate"/>
      <w:fldChar w:fldCharType="end"/>
    </w:r>
    <w:r>
      <w:rPr>
        <w:rFonts w:ascii="Inter" w:cs="Inter" w:eastAsia="Inter" w:hAnsi="Inter"/>
        <w:b w:val="false"/>
        <w:bCs w:val="false"/>
        <w:i w:val="false"/>
        <w:iCs w:val="false"/>
        <w:color w:val="808080"/>
        <w:sz w:val="16"/>
        <w:szCs w:val="16"/>
      </w:rPr>
      <w:t xml:space="preserve"> of </w:t>
    </w:r>
    <w:r>
      <w:rPr>
        <w:rFonts w:ascii="Inter" w:cs="Inter" w:eastAsia="Inter" w:hAnsi="Inter"/>
        <w:color w:val="808080"/>
        <w:sz w:val="16"/>
        <w:szCs w:val="16"/>
      </w:rPr>
      <w:fldChar w:fldCharType="begin"/>
      <w:instrText xml:space="preserve">NUMPAGES</w:instrText>
      <w:fldChar w:fldCharType="separate"/>
      <w:fldChar w:fldCharType="end"/>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er3.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BFBFBF" w:sz="4" w:space="4"/>
      </w:pBdr>
      <w:jc w:val="right"/>
    </w:pPr>
    <w:r>
      <w:rPr>
        <w:rFonts w:ascii="Inter" w:cs="Inter" w:eastAsia="Inter" w:hAnsi="Inter"/>
        <w:b w:val="false"/>
        <w:bCs w:val="false"/>
        <w:i w:val="false"/>
        <w:iCs w:val="false"/>
        <w:color w:val="808080"/>
        <w:sz w:val="16"/>
        <w:szCs w:val="16"/>
      </w:rPr>
      <w:t>[YOUR ORGANISATION]  |  ISMS Scope Document  |  [Classification]</w:t>
    </w: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3.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420" w:hanging="240"/>
      </w:pPr>
    </w:lvl>
    <w:lvl w:ilvl="1" w15:tentative="1">
      <w:start w:val="1"/>
      <w:numFmt w:val="bullet"/>
      <w:lvlText w:val="–"/>
      <w:lvlJc w:val="left"/>
      <w:pPr>
        <w:ind w:left="840" w:hanging="240"/>
      </w:pPr>
    </w:lvl>
  </w:abstractNum>
  <w:abstractNum w:abstractNumId="3" w15:restartNumberingAfterBreak="0">
    <w:multiLevelType w:val="hybridMultilevel"/>
    <w:lvl w:ilvl="0" w15:tentative="1">
      <w:start w:val="1"/>
      <w:numFmt w:val="decimal"/>
      <w:lvlText w:val="%1."/>
      <w:lvlJc w:val="left"/>
      <w:pPr>
        <w:ind w:left="500" w:hanging="32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Inter" w:cs="Inter" w:eastAsia="Inter" w:hAnsi="Inter"/>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1A1A1A"/>
      <w:sz w:val="32"/>
      <w:szCs w:val="32"/>
    </w:rPr>
  </w:style>
  <w:style w:type="paragraph" w:styleId="Heading2">
    <w:name w:val="Heading 2"/>
    <w:basedOn w:val="Normal"/>
    <w:next w:val="Normal"/>
    <w:qFormat/>
    <w:rPr>
      <w:color w:val="1A1A1A"/>
      <w:sz w:val="26"/>
      <w:szCs w:val="26"/>
    </w:rPr>
  </w:style>
  <w:style w:type="paragraph" w:styleId="Heading3">
    <w:name w:val="Heading 3"/>
    <w:basedOn w:val="Normal"/>
    <w:next w:val="Normal"/>
    <w:qFormat/>
    <w:rPr>
      <w:color w:val="1A1A1A"/>
      <w:sz w:val="24"/>
      <w:szCs w:val="24"/>
    </w:rPr>
  </w:style>
  <w:style w:type="paragraph" w:styleId="Heading4">
    <w:name w:val="Heading 4"/>
    <w:basedOn w:val="Normal"/>
    <w:next w:val="Normal"/>
    <w:qFormat/>
    <w:rPr>
      <w:i/>
      <w:iCs/>
      <w:color w:val="1A1A1A"/>
    </w:rPr>
  </w:style>
  <w:style w:type="paragraph" w:styleId="Heading5">
    <w:name w:val="Heading 5"/>
    <w:basedOn w:val="Normal"/>
    <w:next w:val="Normal"/>
    <w:qFormat/>
    <w:rPr>
      <w:color w:val="1A1A1A"/>
    </w:rPr>
  </w:style>
  <w:style w:type="paragraph" w:styleId="Heading6">
    <w:name w:val="Heading 6"/>
    <w:basedOn w:val="Normal"/>
    <w:next w:val="Normal"/>
    <w:qFormat/>
    <w:rPr>
      <w:color w:val="1A1A1A"/>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header" Target="header2.xml"/><Relationship Id="rId11" Type="http://schemas.openxmlformats.org/officeDocument/2006/relationships/footer" Target="footer2.xml"/><Relationship Id="rId12" Type="http://schemas.openxmlformats.org/officeDocument/2006/relationships/header" Target="header3.xml"/><Relationship Id="rId13" Type="http://schemas.openxmlformats.org/officeDocument/2006/relationships/footer" Target="footer3.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ISMS Scope Document</dc:title>
  <dc:creator>Sameer Khairkar</dc:creator>
  <dc:description>ISO/IEC 27001:2022 Clause 4.3. Free template from sameerkhairkar.com. Practitioner material, not legal advice.</dc:description>
  <cp:lastModifiedBy>Sameer Khairkar</cp:lastModifiedBy>
  <cp:revision>1</cp:revision>
  <dcterms:created xsi:type="dcterms:W3CDTF">2026-08-09T23:24:38.631Z</dcterms:created>
  <dcterms:modified xsi:type="dcterms:W3CDTF">2026-08-09T23:24:38.634Z</dcterms:modified>
  <cp:category>ISO/IEC 27001:2022 Implementation Kit</cp:category>
</cp:coreProperties>
</file>

<file path=docProps/custom.xml><?xml version="1.0" encoding="utf-8"?>
<Properties xmlns="http://schemas.openxmlformats.org/officeDocument/2006/custom-properties" xmlns:vt="http://schemas.openxmlformats.org/officeDocument/2006/docPropsVTypes"/>
</file>